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174037038"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Rick Shapiro</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Paul Kaufman and Sue Mara</w:t>
            </w:r>
          </w:p>
        </w:tc>
        <w:tc>
          <w:tcPr>
            <w:tcW w:w="990" w:type="dxa"/>
            <w:tcBorders/>
          </w:tcPr>
          <w:p>
            <w:pPr>
              <w:pStyle w:val="Normal"/>
              <w:ind w:start="-180" w:end="0"/>
              <w:jc w:val="end"/>
              <w:rPr>
                <w:rFonts w:eastAsia="Arial"/>
                <w:sz w:val="16"/>
              </w:rPr>
            </w:pPr>
            <w:r>
              <w:rPr>
                <w:rFonts w:eastAsia="Arial"/>
                <w:sz w:val="16"/>
              </w:rPr>
              <w:t xml:space="preserve"> </w:t>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Western States Budget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color w:val="auto"/>
        </w:rPr>
      </w:pPr>
      <w:r>
        <w:rPr>
          <w:color w:val="auto"/>
        </w:rPr>
      </w:r>
      <w:bookmarkStart w:id="3" w:name="StartOfMemo"/>
      <w:bookmarkStart w:id="4" w:name="StartOfMemo"/>
      <w:bookmarkEnd w:id="4"/>
    </w:p>
    <w:p>
      <w:pPr>
        <w:pStyle w:val="Body"/>
        <w:ind w:start="0" w:end="0"/>
        <w:jc w:val="center"/>
        <w:rPr>
          <w:b/>
          <w:color w:val="auto"/>
          <w:u w:val="single"/>
        </w:rPr>
      </w:pPr>
      <w:r>
        <w:rPr>
          <w:b/>
          <w:color w:val="auto"/>
          <w:u w:val="single"/>
        </w:rPr>
        <w:t>Introduction</w:t>
      </w:r>
    </w:p>
    <w:p>
      <w:pPr>
        <w:pStyle w:val="Body"/>
        <w:ind w:start="0" w:end="0"/>
        <w:rPr>
          <w:b/>
          <w:color w:val="auto"/>
          <w:u w:val="single"/>
        </w:rPr>
      </w:pPr>
      <w:r>
        <w:rPr>
          <w:b/>
          <w:color w:val="auto"/>
          <w:u w:val="single"/>
        </w:rPr>
      </w:r>
    </w:p>
    <w:p>
      <w:pPr>
        <w:pStyle w:val="Body"/>
        <w:ind w:start="0" w:end="0"/>
        <w:rPr>
          <w:color w:val="auto"/>
        </w:rPr>
      </w:pPr>
      <w:r>
        <w:rPr>
          <w:color w:val="auto"/>
        </w:rPr>
        <w:t>This memorandum presents the proposed budget for the Western States region.   Under separate cover, we have provided the actual budget proposal, formatted as you requested in our Colorado Springs meeting.    We propose a budget of $2,035,500.  This budget includes:</w:t>
      </w:r>
    </w:p>
    <w:p>
      <w:pPr>
        <w:pStyle w:val="Body"/>
        <w:ind w:start="0" w:end="0"/>
        <w:rPr>
          <w:color w:val="auto"/>
        </w:rPr>
      </w:pPr>
      <w:r>
        <w:rPr>
          <w:color w:val="auto"/>
        </w:rPr>
      </w:r>
    </w:p>
    <w:p>
      <w:pPr>
        <w:pStyle w:val="Body"/>
        <w:numPr>
          <w:ilvl w:val="0"/>
          <w:numId w:val="2"/>
        </w:numPr>
        <w:rPr>
          <w:color w:val="auto"/>
        </w:rPr>
      </w:pPr>
      <w:r>
        <w:rPr>
          <w:color w:val="auto"/>
        </w:rPr>
        <w:t>“</w:t>
      </w:r>
      <w:r>
        <w:rPr>
          <w:color w:val="auto"/>
        </w:rPr>
        <w:t>fixed” expenses such as political contributions, coalitions, lobbyist retainers, and legal retainers ($705,000);</w:t>
      </w:r>
    </w:p>
    <w:p>
      <w:pPr>
        <w:pStyle w:val="Body"/>
        <w:ind w:start="720" w:end="0"/>
        <w:rPr>
          <w:color w:val="auto"/>
        </w:rPr>
      </w:pPr>
      <w:r>
        <w:rPr>
          <w:color w:val="auto"/>
        </w:rPr>
      </w:r>
    </w:p>
    <w:p>
      <w:pPr>
        <w:pStyle w:val="Body"/>
        <w:numPr>
          <w:ilvl w:val="0"/>
          <w:numId w:val="2"/>
        </w:numPr>
        <w:rPr>
          <w:color w:val="auto"/>
        </w:rPr>
      </w:pPr>
      <w:r>
        <w:rPr>
          <w:color w:val="auto"/>
        </w:rPr>
        <w:t>“</w:t>
      </w:r>
      <w:r>
        <w:rPr>
          <w:color w:val="auto"/>
        </w:rPr>
        <w:t>variable” expenses for projects that are “known” and estimated outside costs that are “measurable ($663,000);”  and</w:t>
      </w:r>
    </w:p>
    <w:p>
      <w:pPr>
        <w:pStyle w:val="Body"/>
        <w:ind w:start="0" w:end="0"/>
        <w:rPr>
          <w:color w:val="auto"/>
        </w:rPr>
      </w:pPr>
      <w:r>
        <w:rPr>
          <w:color w:val="auto"/>
        </w:rPr>
      </w:r>
    </w:p>
    <w:p>
      <w:pPr>
        <w:pStyle w:val="Body"/>
        <w:numPr>
          <w:ilvl w:val="0"/>
          <w:numId w:val="2"/>
        </w:numPr>
        <w:rPr>
          <w:color w:val="auto"/>
        </w:rPr>
      </w:pPr>
      <w:r>
        <w:rPr>
          <w:color w:val="auto"/>
        </w:rPr>
        <w:t>other expenses such as rent, business expenses, and business supplies. ($667,500)</w:t>
      </w:r>
    </w:p>
    <w:p>
      <w:pPr>
        <w:pStyle w:val="Body"/>
        <w:ind w:start="0" w:end="0"/>
        <w:rPr>
          <w:color w:val="auto"/>
        </w:rPr>
      </w:pPr>
      <w:r>
        <w:rPr>
          <w:color w:val="auto"/>
        </w:rPr>
      </w:r>
    </w:p>
    <w:p>
      <w:pPr>
        <w:pStyle w:val="Body"/>
        <w:rPr>
          <w:color w:val="auto"/>
        </w:rPr>
      </w:pPr>
      <w:r>
        <w:rPr>
          <w:color w:val="auto"/>
        </w:rPr>
        <w:t xml:space="preserve">Note that we have included in our budget an estimate of funds for the use of the Tabors Caramanis firm on transmission matters, office expenses for the Phoenix office, and business expenses for Marcie Milner and Tom Delaney.  We have not included in our budget any estimated fees or expenses for the Bracewell &amp; Patterson firm.    </w:t>
      </w:r>
    </w:p>
    <w:p>
      <w:pPr>
        <w:pStyle w:val="Body"/>
        <w:rPr>
          <w:color w:val="auto"/>
        </w:rPr>
      </w:pPr>
      <w:r>
        <w:rPr>
          <w:color w:val="auto"/>
        </w:rPr>
      </w:r>
    </w:p>
    <w:p>
      <w:pPr>
        <w:pStyle w:val="Heading1"/>
        <w:ind w:hanging="0" w:start="0"/>
        <w:jc w:val="center"/>
        <w:rPr>
          <w:rFonts w:ascii="Arial" w:hAnsi="Arial" w:cs="Arial"/>
          <w:b/>
          <w:sz w:val="20"/>
        </w:rPr>
      </w:pPr>
      <w:r>
        <w:rPr>
          <w:rFonts w:cs="Arial" w:ascii="Arial" w:hAnsi="Arial"/>
          <w:b/>
          <w:sz w:val="20"/>
        </w:rPr>
        <w:t>Discussion of Fixed/Annual</w:t>
      </w:r>
    </w:p>
    <w:p>
      <w:pPr>
        <w:pStyle w:val="Normal"/>
        <w:rPr>
          <w:rFonts w:ascii="Arial" w:hAnsi="Arial" w:cs="Arial"/>
          <w:b/>
          <w:sz w:val="20"/>
        </w:rPr>
      </w:pPr>
      <w:r>
        <w:rPr>
          <w:rFonts w:cs="Arial"/>
          <w:b/>
          <w:sz w:val="20"/>
        </w:rPr>
      </w:r>
    </w:p>
    <w:p>
      <w:pPr>
        <w:pStyle w:val="Normal"/>
        <w:rPr/>
      </w:pPr>
      <w:r>
        <w:rPr>
          <w:b/>
          <w:sz w:val="20"/>
        </w:rPr>
        <w:t>Arizona:</w:t>
      </w:r>
      <w:r>
        <w:rPr>
          <w:sz w:val="20"/>
        </w:rPr>
        <w:tab/>
        <w:tab/>
        <w:t xml:space="preserve">We are not proposing any funding for either coalitions, political contributions or other matters falling within the fixed category.  We will not renew our membership in the Arizona industrial customer coalition as it was a signatory to the APS settlement that we are challenging in court.  </w:t>
      </w:r>
    </w:p>
    <w:p>
      <w:pPr>
        <w:pStyle w:val="Normal"/>
        <w:rPr>
          <w:sz w:val="20"/>
        </w:rPr>
      </w:pPr>
      <w:r>
        <w:rPr>
          <w:sz w:val="20"/>
        </w:rPr>
      </w:r>
    </w:p>
    <w:p>
      <w:pPr>
        <w:pStyle w:val="Normal"/>
        <w:rPr/>
      </w:pPr>
      <w:r>
        <w:rPr>
          <w:b/>
          <w:sz w:val="20"/>
        </w:rPr>
        <w:t>Alaska/Hawaii:</w:t>
      </w:r>
      <w:r>
        <w:rPr>
          <w:sz w:val="20"/>
        </w:rPr>
        <w:tab/>
        <w:t>Total  of $0.</w:t>
      </w:r>
    </w:p>
    <w:p>
      <w:pPr>
        <w:pStyle w:val="Normal"/>
        <w:rPr>
          <w:sz w:val="20"/>
        </w:rPr>
      </w:pPr>
      <w:r>
        <w:rPr>
          <w:sz w:val="20"/>
        </w:rPr>
      </w:r>
    </w:p>
    <w:p>
      <w:pPr>
        <w:pStyle w:val="Normal"/>
        <w:rPr/>
      </w:pPr>
      <w:r>
        <w:rPr>
          <w:b/>
          <w:sz w:val="20"/>
        </w:rPr>
        <w:t>California:</w:t>
      </w:r>
      <w:r>
        <w:rPr>
          <w:sz w:val="20"/>
        </w:rPr>
        <w:tab/>
        <w:tab/>
        <w:t xml:space="preserve">We are proposing the following:  </w:t>
      </w:r>
    </w:p>
    <w:p>
      <w:pPr>
        <w:pStyle w:val="Normal"/>
        <w:rPr>
          <w:sz w:val="20"/>
        </w:rPr>
      </w:pPr>
      <w:r>
        <w:rPr>
          <w:sz w:val="20"/>
        </w:rPr>
      </w:r>
    </w:p>
    <w:tbl>
      <w:tblPr>
        <w:tblW w:w="8910" w:type="dxa"/>
        <w:jc w:val="start"/>
        <w:tblInd w:w="738" w:type="dxa"/>
        <w:tblLayout w:type="fixed"/>
        <w:tblCellMar>
          <w:top w:w="0" w:type="dxa"/>
          <w:start w:w="108" w:type="dxa"/>
          <w:bottom w:w="0" w:type="dxa"/>
          <w:end w:w="108" w:type="dxa"/>
        </w:tblCellMar>
      </w:tblPr>
      <w:tblGrid>
        <w:gridCol w:w="3060"/>
        <w:gridCol w:w="5850"/>
      </w:tblGrid>
      <w:tr>
        <w:trPr/>
        <w:tc>
          <w:tcPr>
            <w:tcW w:w="306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Budget Request</w:t>
            </w:r>
          </w:p>
        </w:tc>
        <w:tc>
          <w:tcPr>
            <w:tcW w:w="58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Explanation</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$9,000 retainer for tariff advice letter review ($1,500/month for one quarter).</w:t>
            </w:r>
          </w:p>
        </w:tc>
        <w:tc>
          <w:tcPr>
            <w:tcW w:w="58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This retainer reflects an agreement reached with the Arder &amp; Hadden law firm to conduct  a review of tariff advice letters filed by three investor-owned utilities in California.  We were given approval for tariff advice review by Goodin McBride for the duration of 1999 at $4,000/month.   The proposal for Arder &amp; Hadden was an annual retainer, but we will revisit the relationship at the close of the first quarter to determine its value.  Further funding of this will be undertaken through the RCR process. </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$10,500 retainer for Goodin McBride for first quarter of 2000.</w:t>
            </w:r>
          </w:p>
        </w:tc>
        <w:tc>
          <w:tcPr>
            <w:tcW w:w="58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Goodin McBride initially offered to provide certain general services as part of an annual retainer of $72,000 ($6,000/month).  Through discussions with Mike Day, we were able to reduce the retainer to $3,500/month.  We are proposing to budget this amount for one quarter.  At the close of the quarter we will revisit the retainer and seek additional funding through the RCR process or terminate the relationship.  The retainer includes the following activities:  </w:t>
            </w:r>
          </w:p>
          <w:p>
            <w:pPr>
              <w:pStyle w:val="Normal"/>
              <w:rPr>
                <w:sz w:val="20"/>
              </w:rPr>
            </w:pPr>
            <w:r>
              <w:rPr>
                <w:sz w:val="20"/>
              </w:rPr>
            </w:r>
          </w:p>
          <w:p>
            <w:pPr>
              <w:pStyle w:val="Normal"/>
              <w:numPr>
                <w:ilvl w:val="0"/>
                <w:numId w:val="3"/>
              </w:numPr>
              <w:rPr>
                <w:sz w:val="20"/>
              </w:rPr>
            </w:pPr>
            <w:r>
              <w:rPr>
                <w:sz w:val="20"/>
              </w:rPr>
              <w:t>providing general legal advice and answering routine questions (that arise in responding to business units and in conducting our regulatory work) concerning the CPUC or California law; and</w:t>
            </w:r>
          </w:p>
          <w:p>
            <w:pPr>
              <w:pStyle w:val="Normal"/>
              <w:numPr>
                <w:ilvl w:val="0"/>
                <w:numId w:val="3"/>
              </w:numPr>
              <w:rPr>
                <w:sz w:val="20"/>
              </w:rPr>
            </w:pPr>
            <w:r>
              <w:rPr>
                <w:sz w:val="20"/>
              </w:rPr>
              <w:t>providing legal counsel to the legislative governmental affairs team for routine bill analysis, issue screening, and coordinating between legislative and CPUC regulatory issues, advising the legislative team on issues of California regulatory policy.</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$35,000</w:t>
            </w:r>
          </w:p>
        </w:tc>
        <w:tc>
          <w:tcPr>
            <w:tcW w:w="58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Coalition memberships.</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$200,000 for political contributions. </w:t>
            </w:r>
          </w:p>
        </w:tc>
        <w:tc>
          <w:tcPr>
            <w:tcW w:w="58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See discussion that follows.</w:t>
            </w:r>
          </w:p>
        </w:tc>
      </w:tr>
      <w:tr>
        <w:trPr/>
        <w:tc>
          <w:tcPr>
            <w:tcW w:w="3060" w:type="dxa"/>
            <w:tcBorders>
              <w:top w:val="single" w:sz="6" w:space="0" w:color="000000"/>
              <w:start w:val="single" w:sz="6" w:space="0" w:color="000000"/>
              <w:bottom w:val="single" w:sz="6" w:space="0" w:color="000000"/>
              <w:end w:val="single" w:sz="6" w:space="0" w:color="000000"/>
            </w:tcBorders>
          </w:tcPr>
          <w:p>
            <w:pPr>
              <w:pStyle w:val="Subject"/>
              <w:tabs>
                <w:tab w:val="left" w:pos="540" w:leader="none"/>
              </w:tabs>
              <w:rPr/>
            </w:pPr>
            <w:r>
              <w:rPr/>
              <w:t>$202,000 for lobbying.</w:t>
            </w:r>
          </w:p>
          <w:p>
            <w:pPr>
              <w:pStyle w:val="Normal"/>
              <w:rPr>
                <w:sz w:val="20"/>
              </w:rPr>
            </w:pPr>
            <w:r>
              <w:rPr>
                <w:sz w:val="20"/>
              </w:rPr>
            </w:r>
          </w:p>
        </w:tc>
        <w:tc>
          <w:tcPr>
            <w:tcW w:w="58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This funding request covers the retainer proposals for two lobbying firms: Governmental Advocates, Inc. and Lang Hansen O’Malley &amp; Miller.  An explanation of our use of these firms follows.  $10,000 of expenses is included in this estimate.</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$60,000 fixed annual retainer for Goodin McBride. </w:t>
            </w:r>
          </w:p>
          <w:p>
            <w:pPr>
              <w:pStyle w:val="Normal"/>
              <w:rPr>
                <w:sz w:val="20"/>
              </w:rPr>
            </w:pPr>
            <w:r>
              <w:rPr>
                <w:sz w:val="20"/>
              </w:rPr>
            </w:r>
          </w:p>
        </w:tc>
        <w:tc>
          <w:tcPr>
            <w:tcW w:w="58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This amount reflects a proposal by the Goodin McBride firm to fix our annual cost for using Mike Day in the hydro legislation that is likely in 2000 at $5000/month.   This retainer would cover all use of the Goodin McBride firm on legislative activities related to the hydro legislation both during and after the 2000 session.  The need for Mike Day is discussed in text that follows this table.</w:t>
            </w:r>
          </w:p>
        </w:tc>
      </w:tr>
    </w:tbl>
    <w:p>
      <w:pPr>
        <w:pStyle w:val="BodyText"/>
        <w:rPr/>
      </w:pPr>
      <w:r>
        <w:rPr/>
      </w:r>
    </w:p>
    <w:p>
      <w:pPr>
        <w:pStyle w:val="Normal"/>
        <w:rPr>
          <w:sz w:val="20"/>
        </w:rPr>
      </w:pPr>
      <w:r>
        <w:rPr>
          <w:sz w:val="20"/>
        </w:rPr>
        <w:t>At the outset, we recognize that the California legislative budget is significantly larger than budgets for other states, and potentially other regions.  However, we note that this proposal is based on a double premise that  (a) Enron wants to develop and maintain a significant independent presence in the state and (b) Enron wants to be a “player” in California politics.  With that double premise in mind, we have a proposed a budget that is as economic as possible based on our understanding of the process and its basic requirements.</w:t>
      </w:r>
    </w:p>
    <w:p>
      <w:pPr>
        <w:pStyle w:val="Normal"/>
        <w:rPr>
          <w:sz w:val="20"/>
        </w:rPr>
      </w:pPr>
      <w:r>
        <w:rPr>
          <w:sz w:val="20"/>
        </w:rPr>
      </w:r>
    </w:p>
    <w:p>
      <w:pPr>
        <w:pStyle w:val="BodyText"/>
        <w:rPr/>
      </w:pPr>
      <w:r>
        <w:rPr/>
        <w:t xml:space="preserve">The following discussion explains the basis for our recommendation given our double premise.  </w:t>
      </w:r>
    </w:p>
    <w:p>
      <w:pPr>
        <w:pStyle w:val="BodyText"/>
        <w:rPr/>
      </w:pPr>
      <w:r>
        <w:rPr/>
      </w:r>
    </w:p>
    <w:p>
      <w:pPr>
        <w:pStyle w:val="BodyText"/>
        <w:rPr/>
      </w:pPr>
      <w:r>
        <w:rPr/>
        <w:t xml:space="preserve">Expected legislation and interests effected.  We expect the 2000 legislative session to address a number of issues and matters that cut across the interests of ENA, EES, and Azurix. </w:t>
      </w:r>
    </w:p>
    <w:p>
      <w:pPr>
        <w:pStyle w:val="BodyText"/>
        <w:rPr/>
      </w:pPr>
      <w:r>
        <w:rPr/>
      </w:r>
    </w:p>
    <w:p>
      <w:pPr>
        <w:pStyle w:val="Normal"/>
        <w:spacing w:lineRule="atLeast" w:line="240"/>
        <w:rPr>
          <w:color w:val="000000"/>
          <w:sz w:val="20"/>
          <w:lang w:eastAsia="en-US"/>
        </w:rPr>
      </w:pPr>
      <w:r>
        <w:rPr>
          <w:color w:val="000000"/>
          <w:sz w:val="20"/>
          <w:lang w:eastAsia="en-US"/>
        </w:rPr>
        <w:t>ENA and EES interests are affected by potential hydro legislation, which we know will surface in January.  There is already a preprint to require that a state agency acquire the hydro assets. Others will seek to impose financial and operating restrictions on the new owners in order to fulfill environmental or water rights objectives. Others may seek legislation to make it difficult for third parties to meet the requirements for a new owner.  Most important of all will be the decision to prohibit or permit interim valuation.</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In the 1999 session, we managed to stop several onerous budget items but they are likely to be revived as bills, including offering preferential rates for Sempra gas supply projects in Mexico.  Senator Peace has shown a tendency to help the utilities with special budget items that are difficult to track and oppose, as they are often last minute with no notification to the public.</w:t>
      </w:r>
    </w:p>
    <w:p>
      <w:pPr>
        <w:pStyle w:val="Normal"/>
        <w:spacing w:lineRule="atLeast" w:line="240"/>
        <w:rPr>
          <w:color w:val="000000"/>
          <w:sz w:val="20"/>
          <w:lang w:eastAsia="en-US"/>
        </w:rPr>
      </w:pPr>
      <w:r>
        <w:rPr>
          <w:color w:val="000000"/>
          <w:sz w:val="20"/>
          <w:lang w:eastAsia="en-US"/>
        </w:rPr>
      </w:r>
    </w:p>
    <w:p>
      <w:pPr>
        <w:pStyle w:val="Normal"/>
        <w:spacing w:lineRule="atLeast" w:line="240"/>
        <w:rPr/>
      </w:pPr>
      <w:r>
        <w:rPr>
          <w:color w:val="000000"/>
          <w:sz w:val="20"/>
          <w:lang w:eastAsia="en-US"/>
        </w:rPr>
        <w:t>With regard to our potential interests in residential service, we know that there will be "roll back" proposals.  Senator Peace was quoted in the November 3 Wall St Journal as saying "he and other lawmakers" are seriously considering whether to introduce new legislation next year that addresses the concerns of retail customers.  As we currently understand it, the idea is to make the California Power Exchange the only power provider for residential customers—</w:t>
      </w:r>
      <w:r>
        <w:rPr>
          <w:i/>
          <w:color w:val="000000"/>
          <w:sz w:val="20"/>
          <w:lang w:eastAsia="en-US"/>
        </w:rPr>
        <w:t>i.e.</w:t>
      </w:r>
      <w:r>
        <w:rPr>
          <w:color w:val="000000"/>
          <w:sz w:val="20"/>
          <w:lang w:eastAsia="en-US"/>
        </w:rPr>
        <w:t xml:space="preserve">, the notion is to abandon the concept of competition to the residential market."  We also expect legislation that would restructure the regulatory agencies.  </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The establishment of Enron Communications and Azurix will require following more legislation and more committees.  The politics of water in California are among the most contentious in the state.  With Azurix's purchase of Madera Ranch they have become key in the water world.  There will definitely be legislation in water marketing and the break up of the Metropolitan Water District.  These are both critical to Azurix.  With the controversy over CPUC certification of new Telco providers with out adequate environment review, we may see legislation in this area.   Note that we have approached Azurix to identify their level of interest in California but have received a mixed response to requests to help fund our use of lobbyists.</w:t>
      </w:r>
    </w:p>
    <w:p>
      <w:pPr>
        <w:pStyle w:val="Normal"/>
        <w:spacing w:lineRule="atLeast" w:line="240"/>
        <w:rPr>
          <w:color w:val="000000"/>
          <w:sz w:val="20"/>
          <w:lang w:eastAsia="en-US"/>
        </w:rPr>
      </w:pPr>
      <w:r>
        <w:rPr>
          <w:color w:val="000000"/>
          <w:sz w:val="20"/>
          <w:lang w:eastAsia="en-US"/>
        </w:rPr>
      </w:r>
    </w:p>
    <w:p>
      <w:pPr>
        <w:pStyle w:val="Normal"/>
        <w:spacing w:lineRule="atLeast" w:line="240"/>
        <w:rPr/>
      </w:pPr>
      <w:r>
        <w:rPr>
          <w:color w:val="000000"/>
          <w:sz w:val="20"/>
          <w:lang w:eastAsia="en-US"/>
        </w:rPr>
        <w:t>Workload.   We expect to staff the legislative session with Sandi McCubbin coordinating our efforts before the legislature. Sandi will also coordinate our legislative strategy and position with other stakeholders and create coalitions among stakeholders with similar interests.</w:t>
      </w:r>
      <w:r>
        <w:rPr>
          <w:rStyle w:val="FootnoteCharacters"/>
          <w:rStyle w:val="FootnoteReference"/>
          <w:color w:val="000000"/>
          <w:sz w:val="20"/>
          <w:lang w:eastAsia="en-US"/>
        </w:rPr>
        <w:footnoteReference w:id="2"/>
      </w:r>
      <w:r>
        <w:rPr>
          <w:color w:val="000000"/>
          <w:sz w:val="20"/>
          <w:lang w:eastAsia="en-US"/>
        </w:rPr>
        <w:t xml:space="preserve">  While Enron has become a player in Sacramento, part of our success has been in creating coalitions around each piece of major legislation.  </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We also expect that Mona Petrochko will assist on hydro legislation as a technical expert for the lobbyists.  However, Mona is also fully occupied with a variety of CPUC matters, including the interim valuation proceeding before the CPUC.  We expect to utilize other San Francisco office resources in the initial months of the session to review and analyze legislation that is filed and amendments that are adopted.  However, this utilization is limited due to CPUC, CEC, CaPX and CaISO workload currently assigned.  </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Our internal resources are not adequate to handle the variety of issues that we expect in the 2000 legislature.  Outside assistance is necessary for their particular expertise (such as Mike Day’s legal expertise) and to cover the “peaking” nature of the legislative session. </w:t>
      </w:r>
    </w:p>
    <w:p>
      <w:pPr>
        <w:pStyle w:val="Normal"/>
        <w:spacing w:lineRule="atLeast" w:line="240"/>
        <w:rPr>
          <w:color w:val="000000"/>
          <w:sz w:val="20"/>
          <w:lang w:eastAsia="en-US"/>
        </w:rPr>
      </w:pPr>
      <w:r>
        <w:rPr>
          <w:color w:val="000000"/>
          <w:sz w:val="20"/>
          <w:lang w:eastAsia="en-US"/>
        </w:rPr>
      </w:r>
    </w:p>
    <w:p>
      <w:pPr>
        <w:pStyle w:val="BodyText"/>
        <w:rPr/>
      </w:pPr>
      <w:r>
        <w:rPr/>
        <w:t>Our need for outside assistance is particularly strong next year.  The year 2000 is the second year of the California legislative session.  There remain over 30 bills on the legislature's desk which are "two year bills" held over from the last session, which can be acted upon immediately in January.  A number of these bills will have to be tracked closely or opposed by Enron.  The "fast track" for two year bills essentially means that the legislature has two cycles for reviewing and passing bills in the second year of the session, meaning that Enron will have to monitor the policy committee and fiscal committee processes for hearing bills twice (once for the two year bills that get immediate treatment, and again for new bills introduced this session).  The remaining two-year bills include a bill sponsored by Sempra which impose public purpose surcharges on competing gas suppliers and mandates specific rates for electric generators and other customers who seek to bypass SoCalGas.  This bill and related bills are likely to be revisited and amended and could affect gas supply options for ENA power projects.</w:t>
      </w:r>
    </w:p>
    <w:p>
      <w:pPr>
        <w:pStyle w:val="BodyText"/>
        <w:rPr/>
      </w:pPr>
      <w:r>
        <w:rPr/>
      </w:r>
    </w:p>
    <w:p>
      <w:pPr>
        <w:pStyle w:val="BodyText"/>
        <w:rPr/>
      </w:pPr>
      <w:r>
        <w:rPr/>
        <w:t>The nomination and confirmation of the CPUC commissioners will also be of great concern.  There is speculation that one of the Republican Commissioners may leave, giving the Governor the majority.  Lobbying resources will be required in order to both influence appointments and participate in the confirmation process.</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We also discovered that term limits has one benefit, new members do not have the history with the utilities.  Of the 120 members there will be a turnover of 30 members next year.  I have spent a great deal of time this fall and will continue in the spring to educate the new players of the value of Enron and deregulation.  The amount of time that I have been spending doing grass roots work for ENA on power plant siting has been very effective also in terms of educating the local legislators to Enron's financial commitment to California.</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Outside Assistance.  A great key to our success has been our legal and lobbying team.  Last year we hired two contract-lobbying firms with very different strengths and contacts.  Hedy Govenar, who has been involved with Democratic politics for years is close to John Burton and the Assembly Democratic leadership, and, also, on the Republican side, Jim Brulte.  She also has very strong contacts within the administration. </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Bev Hanson, a former rural  Republican Assemblymember has strong ties to rural legislators, the Republican leadership in both houses and very importantly, Senator Peace. </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Mike Day, our outside counsel is also critical to our success.  Since we have no in-house California attorneys, it is critical to have immediate access to experienced attorneys on an ongoing basis during the legislative process to review, analyze and draft alternative language and to testify on legal issues related to such legislation.  In many cases this assistance is required on the spot, especially when there are many bills being dealt with in a very short time.  It is also important to use the firm that does Enron's regulatory and administrative litigation positions so that messages are consistent.  In this regard, we note that Day has committed to work on hydro legislation both during the legislative session and after the session for a retainer of $5,000/month.   Mike has also proposed a retainer that would provide our California office with general access to California legal, PUC and legislative expertise (on non-hydro matters) for a fee of $3,500/month.  With respect to this latter retainer, we are proposing to budget this retainer for three months, at which time we will review the relationship.  If we choose to continue the relationship, we will seek approval for additional funding through the RCR process.</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Contribution strategy.  The year 2000 is an election year in California and we are requesting a total of $200,000 for contributions. Because of our high profile in the legislature and our success, we are on everyone's political radar screen. This funds only a portion of the number of requests that received--and comes no where near to the amounts requested.   Even though 30 members are “termed out”, they still will be members through the legislative session and continue to have fundraisers either for further political office or to remain players in the respective parties.   </w:t>
      </w:r>
    </w:p>
    <w:p>
      <w:pPr>
        <w:pStyle w:val="Normal"/>
        <w:spacing w:lineRule="atLeast" w:line="240"/>
        <w:rPr>
          <w:color w:val="000000"/>
          <w:sz w:val="20"/>
          <w:lang w:eastAsia="en-US"/>
        </w:rPr>
      </w:pPr>
      <w:r>
        <w:rPr>
          <w:color w:val="000000"/>
          <w:sz w:val="20"/>
          <w:lang w:eastAsia="en-US"/>
        </w:rPr>
        <w:t>We propose the following breakdown:</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t xml:space="preserve">Governor </w:t>
        <w:tab/>
        <w:tab/>
        <w:tab/>
        <w:t xml:space="preserve">       </w:t>
        <w:tab/>
        <w:t>$40,000</w:t>
      </w:r>
    </w:p>
    <w:p>
      <w:pPr>
        <w:pStyle w:val="Normal"/>
        <w:spacing w:lineRule="atLeast" w:line="240"/>
        <w:rPr>
          <w:color w:val="000000"/>
          <w:sz w:val="20"/>
          <w:lang w:eastAsia="en-US"/>
        </w:rPr>
      </w:pPr>
      <w:r>
        <w:rPr>
          <w:color w:val="000000"/>
          <w:sz w:val="20"/>
          <w:lang w:eastAsia="en-US"/>
        </w:rPr>
        <w:t>Constitutional Officer and BOE</w:t>
        <w:tab/>
        <w:tab/>
        <w:t>$15,000</w:t>
      </w:r>
    </w:p>
    <w:p>
      <w:pPr>
        <w:pStyle w:val="Normal"/>
        <w:spacing w:lineRule="atLeast" w:line="240"/>
        <w:rPr>
          <w:color w:val="000000"/>
          <w:sz w:val="20"/>
          <w:lang w:eastAsia="en-US"/>
        </w:rPr>
      </w:pPr>
      <w:r>
        <w:rPr>
          <w:color w:val="000000"/>
          <w:sz w:val="20"/>
          <w:lang w:eastAsia="en-US"/>
        </w:rPr>
        <w:t xml:space="preserve">Senate Dem. Leadership </w:t>
        <w:tab/>
        <w:tab/>
        <w:t>$20,000</w:t>
      </w:r>
    </w:p>
    <w:p>
      <w:pPr>
        <w:pStyle w:val="Normal"/>
        <w:spacing w:lineRule="atLeast" w:line="240"/>
        <w:rPr>
          <w:color w:val="000000"/>
          <w:sz w:val="20"/>
          <w:lang w:eastAsia="en-US"/>
        </w:rPr>
      </w:pPr>
      <w:r>
        <w:rPr>
          <w:color w:val="000000"/>
          <w:sz w:val="20"/>
          <w:lang w:eastAsia="en-US"/>
        </w:rPr>
        <w:t>Senate Rep. Leadership</w:t>
        <w:tab/>
        <w:tab/>
        <w:tab/>
        <w:t>$15,000</w:t>
      </w:r>
    </w:p>
    <w:p>
      <w:pPr>
        <w:pStyle w:val="Normal"/>
        <w:spacing w:lineRule="atLeast" w:line="240"/>
        <w:rPr>
          <w:color w:val="000000"/>
          <w:sz w:val="20"/>
          <w:lang w:eastAsia="en-US"/>
        </w:rPr>
      </w:pPr>
      <w:r>
        <w:rPr>
          <w:color w:val="000000"/>
          <w:sz w:val="20"/>
          <w:lang w:eastAsia="en-US"/>
        </w:rPr>
        <w:t>Assembly Dem. Leadership</w:t>
        <w:tab/>
        <w:tab/>
        <w:t>$20,000</w:t>
      </w:r>
    </w:p>
    <w:p>
      <w:pPr>
        <w:pStyle w:val="Normal"/>
        <w:spacing w:lineRule="atLeast" w:line="240"/>
        <w:rPr>
          <w:color w:val="000000"/>
          <w:sz w:val="20"/>
          <w:lang w:eastAsia="en-US"/>
        </w:rPr>
      </w:pPr>
      <w:r>
        <w:rPr>
          <w:color w:val="000000"/>
          <w:sz w:val="20"/>
          <w:lang w:eastAsia="en-US"/>
        </w:rPr>
        <w:t xml:space="preserve">Assembly Rep. Leadership    </w:t>
        <w:tab/>
        <w:tab/>
        <w:t>$15,000</w:t>
      </w:r>
    </w:p>
    <w:p>
      <w:pPr>
        <w:pStyle w:val="Normal"/>
        <w:spacing w:lineRule="atLeast" w:line="240"/>
        <w:rPr>
          <w:color w:val="000000"/>
          <w:sz w:val="20"/>
          <w:lang w:eastAsia="en-US"/>
        </w:rPr>
      </w:pPr>
      <w:r>
        <w:rPr>
          <w:color w:val="000000"/>
          <w:sz w:val="20"/>
          <w:lang w:eastAsia="en-US"/>
        </w:rPr>
        <w:t>Key Committees Senate(4)</w:t>
        <w:tab/>
        <w:tab/>
        <w:t>$35,000</w:t>
      </w:r>
    </w:p>
    <w:p>
      <w:pPr>
        <w:pStyle w:val="Normal"/>
        <w:spacing w:lineRule="atLeast" w:line="240"/>
        <w:rPr>
          <w:color w:val="000000"/>
          <w:sz w:val="20"/>
          <w:lang w:eastAsia="en-US"/>
        </w:rPr>
      </w:pPr>
      <w:r>
        <w:rPr>
          <w:color w:val="000000"/>
          <w:sz w:val="20"/>
          <w:lang w:eastAsia="en-US"/>
        </w:rPr>
        <w:t>Key Committees Assembly (4)</w:t>
        <w:tab/>
        <w:tab/>
        <w:t>$30,000</w:t>
      </w:r>
    </w:p>
    <w:p>
      <w:pPr>
        <w:pStyle w:val="Normal"/>
        <w:rPr>
          <w:sz w:val="20"/>
        </w:rPr>
      </w:pPr>
      <w:r>
        <w:rPr>
          <w:color w:val="000000"/>
          <w:sz w:val="20"/>
          <w:lang w:eastAsia="en-US"/>
        </w:rPr>
        <w:t>Latino and Moderate Dem. Caucus</w:t>
        <w:tab/>
        <w:t>$10,000</w:t>
      </w:r>
    </w:p>
    <w:p>
      <w:pPr>
        <w:pStyle w:val="Normal"/>
        <w:rPr>
          <w:sz w:val="20"/>
        </w:rPr>
      </w:pPr>
      <w:r>
        <w:rPr>
          <w:sz w:val="20"/>
        </w:rPr>
      </w:r>
    </w:p>
    <w:p>
      <w:pPr>
        <w:pStyle w:val="Normal"/>
        <w:rPr>
          <w:sz w:val="20"/>
        </w:rPr>
      </w:pPr>
      <w:r>
        <w:rPr>
          <w:sz w:val="20"/>
        </w:rPr>
        <w:t>We expect that the exact distribution of the $200,000 will change as the year progresses.</w:t>
      </w:r>
    </w:p>
    <w:p>
      <w:pPr>
        <w:pStyle w:val="Normal"/>
        <w:rPr>
          <w:sz w:val="20"/>
        </w:rPr>
      </w:pPr>
      <w:r>
        <w:rPr>
          <w:sz w:val="20"/>
        </w:rPr>
      </w:r>
    </w:p>
    <w:p>
      <w:pPr>
        <w:pStyle w:val="Normal"/>
        <w:rPr>
          <w:sz w:val="20"/>
        </w:rPr>
      </w:pPr>
      <w:r>
        <w:rPr>
          <w:sz w:val="20"/>
        </w:rPr>
      </w:r>
    </w:p>
    <w:p>
      <w:pPr>
        <w:pStyle w:val="Normal"/>
        <w:rPr/>
      </w:pPr>
      <w:r>
        <w:rPr>
          <w:b/>
          <w:sz w:val="20"/>
        </w:rPr>
        <w:t>Colorado:</w:t>
      </w:r>
      <w:r>
        <w:rPr>
          <w:sz w:val="20"/>
        </w:rPr>
        <w:tab/>
        <w:tab/>
        <w:t>We are proposing a total of $27,000 in fixed/annual funding for Colorado.  As reported in earlier budget discussions we expect Colorado to move to restructuring in 2001.  We are seeking funding for 2000 to ensure we have a voice in 2001.  Our funding request is broken down as follows:</w:t>
      </w:r>
    </w:p>
    <w:p>
      <w:pPr>
        <w:pStyle w:val="Normal"/>
        <w:rPr>
          <w:sz w:val="20"/>
        </w:rPr>
      </w:pPr>
      <w:r>
        <w:rPr>
          <w:sz w:val="20"/>
        </w:rPr>
        <w:tab/>
      </w:r>
    </w:p>
    <w:tbl>
      <w:tblPr>
        <w:tblW w:w="8910" w:type="dxa"/>
        <w:jc w:val="start"/>
        <w:tblInd w:w="738" w:type="dxa"/>
        <w:tblLayout w:type="fixed"/>
        <w:tblCellMar>
          <w:top w:w="0" w:type="dxa"/>
          <w:start w:w="108" w:type="dxa"/>
          <w:bottom w:w="0" w:type="dxa"/>
          <w:end w:w="108" w:type="dxa"/>
        </w:tblCellMar>
      </w:tblPr>
      <w:tblGrid>
        <w:gridCol w:w="3060"/>
        <w:gridCol w:w="5850"/>
      </w:tblGrid>
      <w:tr>
        <w:trPr/>
        <w:tc>
          <w:tcPr>
            <w:tcW w:w="306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Budget Request</w:t>
            </w:r>
          </w:p>
        </w:tc>
        <w:tc>
          <w:tcPr>
            <w:tcW w:w="58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Explanation</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$5,000</w:t>
            </w:r>
          </w:p>
        </w:tc>
        <w:tc>
          <w:tcPr>
            <w:tcW w:w="5850" w:type="dxa"/>
            <w:tcBorders>
              <w:top w:val="single" w:sz="6" w:space="0" w:color="000000"/>
              <w:start w:val="single" w:sz="6" w:space="0" w:color="000000"/>
              <w:bottom w:val="single" w:sz="6" w:space="0" w:color="000000"/>
              <w:end w:val="single" w:sz="6" w:space="0" w:color="000000"/>
            </w:tcBorders>
          </w:tcPr>
          <w:p>
            <w:pPr>
              <w:pStyle w:val="Normal"/>
              <w:rPr/>
            </w:pPr>
            <w:r>
              <w:rPr>
                <w:sz w:val="20"/>
              </w:rPr>
              <w:t xml:space="preserve">Coloradans for Consumer Choice is a coalition of industrial customers, consumer groups and other pro-customer choice advocates.  We have participated as a member of this </w:t>
            </w:r>
            <w:r>
              <w:rPr>
                <w:i/>
                <w:sz w:val="20"/>
              </w:rPr>
              <w:t>ad hoc</w:t>
            </w:r>
            <w:r>
              <w:rPr>
                <w:sz w:val="20"/>
              </w:rPr>
              <w:t xml:space="preserve"> coalition for several years.</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$10,000</w:t>
            </w:r>
          </w:p>
        </w:tc>
        <w:tc>
          <w:tcPr>
            <w:tcW w:w="58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Colorado Independent Energy Association is the coalition of gas-fired and renewable project owners and developers in Colorado.  We joined CIEA in 1999 mid-year at a cost of $5,000.  CIEA was successful in getting PSCo’s  commitment not to participate either as the utility or a utility-affiliate in any future IRPs.  CIEA is an active participant in restructuring forums and the legislative task force.</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$12,000</w:t>
            </w:r>
          </w:p>
        </w:tc>
        <w:tc>
          <w:tcPr>
            <w:tcW w:w="585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We funded Kirscht Associates at this level in 1999 and the proposal for 2000 is to maintain this minimum level of funding.  With this level of funding the Kirscht’s provide a weekly report during the legislative session and attend meetings in Denver on our behalf.  </w:t>
            </w:r>
          </w:p>
        </w:tc>
      </w:tr>
    </w:tbl>
    <w:p>
      <w:pPr>
        <w:pStyle w:val="Normal"/>
        <w:rPr>
          <w:sz w:val="20"/>
        </w:rPr>
      </w:pPr>
      <w:r>
        <w:rPr>
          <w:sz w:val="20"/>
        </w:rPr>
      </w:r>
    </w:p>
    <w:p>
      <w:pPr>
        <w:pStyle w:val="Normal"/>
        <w:rPr/>
      </w:pPr>
      <w:r>
        <w:rPr>
          <w:b/>
          <w:sz w:val="20"/>
        </w:rPr>
        <w:t>Idaho:</w:t>
      </w:r>
      <w:r>
        <w:rPr>
          <w:sz w:val="20"/>
        </w:rPr>
        <w:tab/>
        <w:tab/>
        <w:tab/>
        <w:t>Total of $0.</w:t>
      </w:r>
    </w:p>
    <w:p>
      <w:pPr>
        <w:pStyle w:val="Normal"/>
        <w:rPr>
          <w:sz w:val="20"/>
        </w:rPr>
      </w:pPr>
      <w:r>
        <w:rPr>
          <w:sz w:val="20"/>
        </w:rPr>
      </w:r>
    </w:p>
    <w:p>
      <w:pPr>
        <w:pStyle w:val="Normal"/>
        <w:rPr/>
      </w:pPr>
      <w:r>
        <w:rPr>
          <w:b/>
          <w:sz w:val="20"/>
        </w:rPr>
        <w:t>Montana:</w:t>
      </w:r>
      <w:r>
        <w:rPr>
          <w:sz w:val="20"/>
        </w:rPr>
        <w:tab/>
        <w:tab/>
        <w:t>Total of $0.</w:t>
      </w:r>
    </w:p>
    <w:p>
      <w:pPr>
        <w:pStyle w:val="Normal"/>
        <w:rPr>
          <w:sz w:val="20"/>
        </w:rPr>
      </w:pPr>
      <w:r>
        <w:rPr>
          <w:sz w:val="20"/>
        </w:rPr>
      </w:r>
    </w:p>
    <w:p>
      <w:pPr>
        <w:pStyle w:val="Normal"/>
        <w:rPr/>
      </w:pPr>
      <w:r>
        <w:rPr>
          <w:b/>
          <w:sz w:val="20"/>
        </w:rPr>
        <w:t>Nevada:</w:t>
      </w:r>
      <w:r>
        <w:rPr>
          <w:sz w:val="20"/>
        </w:rPr>
        <w:tab/>
        <w:tab/>
        <w:t>We are proposing a fixed/annual budget of $60,000 for Nevada.  This sum consists of:  (1) $30,000 annual retainer for the McMullen Strategic Group as our Lobbyist/Public Affairs representative ($2500/month); and (2) $30,000 political contributions.  The proposal for funding lobbying/public affairs in Nevada reflects ENA’s interest in a number of Nevada matters such as the Las Vegas Cogeneration project.  ENA has also expressed a strong interest in Nevada Power and Sierra Pacific’s resources (which are subject to auction) and the utility’s continuing PLR obligation.   Our continued presence in Nevada will also be necessary during the Puce’s review of Sierra’s proposed acquisition of PGE.  Political campaign contributions will follow a similar path as recommended for California:  (1) Governor’s office; (2) Senate leadership—both Republican and Democratic; (3) House leadership—both Republican and Democratic; (4) Speaker of the House; (5) President of the Senate; (6) Members of the Senate Commerce Committee; and (7) Members of the House Government Committee.</w:t>
      </w:r>
    </w:p>
    <w:p>
      <w:pPr>
        <w:pStyle w:val="Normal"/>
        <w:rPr>
          <w:sz w:val="20"/>
        </w:rPr>
      </w:pPr>
      <w:r>
        <w:rPr>
          <w:sz w:val="20"/>
        </w:rPr>
      </w:r>
    </w:p>
    <w:p>
      <w:pPr>
        <w:pStyle w:val="Normal"/>
        <w:rPr/>
      </w:pPr>
      <w:r>
        <w:rPr>
          <w:b/>
          <w:sz w:val="20"/>
        </w:rPr>
        <w:t>New Mexico</w:t>
      </w:r>
      <w:r>
        <w:rPr>
          <w:sz w:val="20"/>
        </w:rPr>
        <w:t>:</w:t>
        <w:tab/>
        <w:tab/>
        <w:t>Total of $0.  We are not proposing to fund Tom Rutherford for 2000.  Note that Transwestern has shared Rutherford’s costs in the last two-quarters of 1999.  Azurix has also expressed an interest in using Rutherford in 2000.  Please let me  know if I should separately contact Azurix and Transwestern to notify them of our decision to fund Rutherford.</w:t>
      </w:r>
    </w:p>
    <w:p>
      <w:pPr>
        <w:pStyle w:val="Normal"/>
        <w:rPr>
          <w:sz w:val="20"/>
        </w:rPr>
      </w:pPr>
      <w:r>
        <w:rPr>
          <w:sz w:val="20"/>
        </w:rPr>
      </w:r>
    </w:p>
    <w:p>
      <w:pPr>
        <w:pStyle w:val="Normal"/>
        <w:rPr>
          <w:sz w:val="20"/>
        </w:rPr>
      </w:pPr>
      <w:r>
        <w:rPr>
          <w:sz w:val="20"/>
        </w:rPr>
        <w:t>Oregon:</w:t>
        <w:tab/>
        <w:tab/>
        <w:t>Total of $0.</w:t>
      </w:r>
    </w:p>
    <w:p>
      <w:pPr>
        <w:pStyle w:val="Normal"/>
        <w:rPr>
          <w:sz w:val="20"/>
        </w:rPr>
      </w:pPr>
      <w:r>
        <w:rPr>
          <w:sz w:val="20"/>
        </w:rPr>
      </w:r>
    </w:p>
    <w:p>
      <w:pPr>
        <w:pStyle w:val="Normal"/>
        <w:rPr>
          <w:sz w:val="20"/>
        </w:rPr>
      </w:pPr>
      <w:r>
        <w:rPr>
          <w:sz w:val="20"/>
        </w:rPr>
        <w:t>Utah:</w:t>
        <w:tab/>
        <w:tab/>
        <w:tab/>
        <w:tab/>
        <w:t>Total of $0.</w:t>
      </w:r>
    </w:p>
    <w:p>
      <w:pPr>
        <w:pStyle w:val="Normal"/>
        <w:rPr>
          <w:sz w:val="20"/>
        </w:rPr>
      </w:pPr>
      <w:r>
        <w:rPr>
          <w:sz w:val="20"/>
        </w:rPr>
      </w:r>
    </w:p>
    <w:p>
      <w:pPr>
        <w:pStyle w:val="Normal"/>
        <w:rPr>
          <w:sz w:val="20"/>
        </w:rPr>
      </w:pPr>
      <w:r>
        <w:rPr>
          <w:sz w:val="20"/>
        </w:rPr>
        <w:t>Washington:</w:t>
        <w:tab/>
        <w:tab/>
        <w:t>Total of $0.</w:t>
      </w:r>
    </w:p>
    <w:p>
      <w:pPr>
        <w:pStyle w:val="Normal"/>
        <w:rPr>
          <w:sz w:val="20"/>
        </w:rPr>
      </w:pPr>
      <w:r>
        <w:rPr>
          <w:sz w:val="20"/>
        </w:rPr>
      </w:r>
    </w:p>
    <w:p>
      <w:pPr>
        <w:pStyle w:val="Normal"/>
        <w:rPr>
          <w:sz w:val="20"/>
        </w:rPr>
      </w:pPr>
      <w:r>
        <w:rPr>
          <w:sz w:val="20"/>
        </w:rPr>
        <w:t>Wyoming:</w:t>
        <w:tab/>
        <w:tab/>
        <w:t>Total of $0.</w:t>
      </w:r>
    </w:p>
    <w:p>
      <w:pPr>
        <w:pStyle w:val="Normal"/>
        <w:rPr>
          <w:sz w:val="20"/>
        </w:rPr>
      </w:pPr>
      <w:r>
        <w:rPr>
          <w:sz w:val="20"/>
        </w:rPr>
      </w:r>
    </w:p>
    <w:p>
      <w:pPr>
        <w:pStyle w:val="Normal"/>
        <w:rPr>
          <w:sz w:val="20"/>
        </w:rPr>
      </w:pPr>
      <w:r>
        <w:rPr>
          <w:sz w:val="20"/>
        </w:rPr>
        <w:t>Transmission:</w:t>
        <w:tab/>
        <w:t>Our proposal for funding transmission matters totals $100,000, which consists of memberships in:  (1) Western Regional Transmission Association; (2) Desert Star; and (3) other regional transmission organizations.   At this time we are uncertain whether Joe Hartsoe will propose funding these memberships through this budget.</w:t>
      </w:r>
    </w:p>
    <w:p>
      <w:pPr>
        <w:pStyle w:val="Normal"/>
        <w:rPr>
          <w:sz w:val="20"/>
        </w:rPr>
      </w:pPr>
      <w:r>
        <w:rPr>
          <w:sz w:val="20"/>
        </w:rPr>
      </w:r>
    </w:p>
    <w:p>
      <w:pPr>
        <w:pStyle w:val="Heading1"/>
        <w:ind w:hanging="0" w:start="0"/>
        <w:jc w:val="center"/>
        <w:rPr>
          <w:rFonts w:ascii="Arial" w:hAnsi="Arial" w:cs="Arial"/>
          <w:b/>
          <w:sz w:val="20"/>
        </w:rPr>
      </w:pPr>
      <w:r>
        <w:rPr>
          <w:rFonts w:cs="Arial" w:ascii="Arial" w:hAnsi="Arial"/>
          <w:b/>
          <w:sz w:val="20"/>
        </w:rPr>
        <w:t>Variable/Project Specific Amounts</w:t>
      </w:r>
    </w:p>
    <w:p>
      <w:pPr>
        <w:pStyle w:val="Normal"/>
        <w:rPr>
          <w:rFonts w:ascii="Arial" w:hAnsi="Arial" w:cs="Arial"/>
          <w:b/>
          <w:sz w:val="20"/>
        </w:rPr>
      </w:pPr>
      <w:r>
        <w:rPr>
          <w:rFonts w:cs="Arial"/>
          <w:b/>
          <w:sz w:val="20"/>
        </w:rPr>
      </w:r>
    </w:p>
    <w:p>
      <w:pPr>
        <w:pStyle w:val="Normal"/>
        <w:rPr/>
      </w:pPr>
      <w:r>
        <w:rPr>
          <w:b/>
          <w:sz w:val="20"/>
        </w:rPr>
        <w:t>Arizona:</w:t>
      </w:r>
      <w:r>
        <w:rPr>
          <w:sz w:val="20"/>
        </w:rPr>
        <w:tab/>
        <w:tab/>
        <w:t>The sole matter we are budgeting for Arizona is our appeal of the ACC’s approval of the Arizona Public Service Company settlement.  We are seeking a total of $20,000, which consists of:  (1) approximately $10,000 which we expect will remain from the RCR approved in 1999 for a petition for reconsideration/appeal; and (2) additional budget amounts for expected work by local counsel in 2000.</w:t>
      </w:r>
    </w:p>
    <w:p>
      <w:pPr>
        <w:pStyle w:val="Normal"/>
        <w:rPr>
          <w:sz w:val="20"/>
        </w:rPr>
      </w:pPr>
      <w:r>
        <w:rPr>
          <w:sz w:val="20"/>
        </w:rPr>
      </w:r>
    </w:p>
    <w:p>
      <w:pPr>
        <w:pStyle w:val="Normal"/>
        <w:rPr/>
      </w:pPr>
      <w:r>
        <w:rPr>
          <w:b/>
          <w:sz w:val="20"/>
        </w:rPr>
        <w:t>Alaska/Hawaii:</w:t>
      </w:r>
      <w:r>
        <w:rPr>
          <w:sz w:val="20"/>
        </w:rPr>
        <w:tab/>
        <w:tab/>
        <w:t xml:space="preserve">Total  of $0.   </w:t>
      </w:r>
    </w:p>
    <w:p>
      <w:pPr>
        <w:pStyle w:val="Normal"/>
        <w:rPr>
          <w:sz w:val="20"/>
        </w:rPr>
      </w:pPr>
      <w:r>
        <w:rPr>
          <w:sz w:val="20"/>
        </w:rPr>
      </w:r>
    </w:p>
    <w:p>
      <w:pPr>
        <w:pStyle w:val="Normal"/>
        <w:rPr/>
      </w:pPr>
      <w:r>
        <w:rPr>
          <w:b/>
          <w:sz w:val="20"/>
        </w:rPr>
        <w:t>California:</w:t>
      </w:r>
      <w:r>
        <w:rPr>
          <w:sz w:val="20"/>
        </w:rPr>
        <w:tab/>
        <w:tab/>
        <w:t>Total of $663,000.</w:t>
      </w:r>
    </w:p>
    <w:p>
      <w:pPr>
        <w:pStyle w:val="Subject"/>
        <w:tabs>
          <w:tab w:val="left" w:pos="540" w:leader="none"/>
        </w:tabs>
        <w:rPr>
          <w:sz w:val="20"/>
          <w:u w:val="single"/>
        </w:rPr>
      </w:pPr>
      <w:r>
        <w:rPr>
          <w:sz w:val="20"/>
          <w:u w:val="single"/>
        </w:rPr>
      </w:r>
    </w:p>
    <w:p>
      <w:pPr>
        <w:pStyle w:val="Normal"/>
        <w:rPr/>
      </w:pPr>
      <w:r>
        <w:rPr>
          <w:sz w:val="20"/>
          <w:u w:val="single"/>
        </w:rPr>
        <w:t>PG&amp;E’s General Rate Case Phase I</w:t>
      </w:r>
      <w:r>
        <w:rPr>
          <w:sz w:val="20"/>
        </w:rPr>
        <w:t xml:space="preserve">:  </w:t>
      </w:r>
    </w:p>
    <w:p>
      <w:pPr>
        <w:pStyle w:val="Normal"/>
        <w:rPr>
          <w:sz w:val="20"/>
        </w:rPr>
      </w:pPr>
      <w:r>
        <w:rPr>
          <w:sz w:val="20"/>
        </w:rPr>
        <w:t>There is a possibility that PG&amp;E’s GRC will not be voted out by the Commission by year-end.  As such, we are actively lobbying the Commission, the Legislature and the Governor’s Office on this issue.  We are also coordinating with other consumer groups and working with the local newspapers.   PG&amp;E has asked for a total annual revenue requirement increase for gas and electricity of over $1 billion.  This has the potential of extending the rate freeze and resulting in higher overall rates after the rate freeze ends.  This poses a significant threat to the value of existing deals.  Upward pressure on the proposed decision has the affect of extending the rate freeze for several months.  Also, it is likely that the GRC revenue requirement will be the stating point for a PBR.  Therefore, the decision in this case has the potential of influencing rates for several years.</w:t>
      </w:r>
    </w:p>
    <w:p>
      <w:pPr>
        <w:pStyle w:val="Normal"/>
        <w:rPr>
          <w:sz w:val="20"/>
        </w:rPr>
      </w:pPr>
      <w:r>
        <w:rPr>
          <w:sz w:val="20"/>
        </w:rPr>
      </w:r>
    </w:p>
    <w:p>
      <w:pPr>
        <w:pStyle w:val="Heading4"/>
        <w:rPr/>
      </w:pPr>
      <w:r>
        <w:rPr/>
        <w:t>PG&amp;E GRC Phase II--Rate Design Phase:</w:t>
      </w:r>
    </w:p>
    <w:p>
      <w:pPr>
        <w:pStyle w:val="Normal"/>
        <w:ind w:end="720"/>
        <w:rPr>
          <w:sz w:val="20"/>
        </w:rPr>
      </w:pPr>
      <w:r>
        <w:rPr>
          <w:sz w:val="20"/>
        </w:rPr>
        <w:t>In its application, PG&amp;E proposes to move from its current rate design structure for distribution service to a design based on a maximum demand charge.</w:t>
      </w:r>
    </w:p>
    <w:p>
      <w:pPr>
        <w:pStyle w:val="Normal"/>
        <w:ind w:end="720"/>
        <w:rPr>
          <w:sz w:val="20"/>
        </w:rPr>
      </w:pPr>
      <w:r>
        <w:rPr>
          <w:sz w:val="20"/>
        </w:rPr>
      </w:r>
    </w:p>
    <w:p>
      <w:pPr>
        <w:pStyle w:val="BodyText2"/>
        <w:rPr/>
      </w:pPr>
      <w:r>
        <w:rPr/>
        <w:t>Our current, approved RCR, is for outside consulting services to determine the feasibility of developing a rate design framework for PG&amp;E's distribution system that::  (1)  examines the sub-components of the utility's distribution system; and, separates costs on the basis of whether load diversity can be recognized and whether peak load conditions affect size of the equipment.  Matters at issue include:   (1) whether it is feasible to design distribution rates which a) reflect true costs, b) include (when appropriate) a fixed and a variable component, and c) vary (when appropriate) with time of day and/or season?  (2)  If the framework is feasible, Enron would eventually develop and submit it as part of the rate design phase of PG&amp;E's rate case.  (3)  The framework might also serve as a template in other states.</w:t>
      </w:r>
    </w:p>
    <w:p>
      <w:pPr>
        <w:pStyle w:val="Normal"/>
        <w:ind w:end="720"/>
        <w:rPr>
          <w:sz w:val="20"/>
        </w:rPr>
      </w:pPr>
      <w:r>
        <w:rPr>
          <w:sz w:val="20"/>
        </w:rPr>
      </w:r>
    </w:p>
    <w:p>
      <w:pPr>
        <w:pStyle w:val="Normal"/>
        <w:ind w:end="720"/>
        <w:rPr>
          <w:sz w:val="20"/>
        </w:rPr>
      </w:pPr>
      <w:r>
        <w:rPr>
          <w:sz w:val="20"/>
        </w:rPr>
        <w:t xml:space="preserve">A TOU and energy/demand rate design framework, it can help manage risk embedded in current deals and increase future opportunities (e.g., load management, distributed generation, pricing, facilities-based deals).   If it is determined to be feasible for Enron to develop distribution rate design, the outside costs will be $150,000. A less involved participation will costs $25,000. $90,000 represents the median of the two extremes </w:t>
      </w:r>
    </w:p>
    <w:p>
      <w:pPr>
        <w:pStyle w:val="Heading1"/>
        <w:ind w:hanging="0" w:start="0"/>
        <w:rPr>
          <w:rFonts w:ascii="Arial" w:hAnsi="Arial" w:cs="Arial"/>
          <w:sz w:val="20"/>
          <w:u w:val="none"/>
        </w:rPr>
      </w:pPr>
      <w:r>
        <w:rPr>
          <w:rFonts w:cs="Arial" w:ascii="Arial" w:hAnsi="Arial"/>
          <w:sz w:val="20"/>
          <w:u w:val="none"/>
        </w:rPr>
      </w:r>
    </w:p>
    <w:p>
      <w:pPr>
        <w:pStyle w:val="Heading1"/>
        <w:ind w:hanging="0" w:start="0"/>
        <w:rPr>
          <w:rFonts w:ascii="Arial" w:hAnsi="Arial" w:cs="Arial"/>
          <w:sz w:val="20"/>
        </w:rPr>
      </w:pPr>
      <w:r>
        <w:rPr>
          <w:rFonts w:cs="Arial" w:ascii="Arial" w:hAnsi="Arial"/>
          <w:sz w:val="20"/>
        </w:rPr>
        <w:t>Post-Freeze Transition Case:</w:t>
      </w:r>
    </w:p>
    <w:p>
      <w:pPr>
        <w:pStyle w:val="Heading1"/>
        <w:ind w:hanging="0" w:start="0"/>
        <w:rPr/>
      </w:pPr>
      <w:r>
        <w:rPr>
          <w:rFonts w:cs="Arial" w:ascii="Arial" w:hAnsi="Arial"/>
          <w:b/>
          <w:sz w:val="20"/>
          <w:u w:val="none"/>
        </w:rPr>
        <w:t>This case addresses, among other things, the rate flexibility that the incumbents will have after the transition period ends (the period for collecting generation-related stranded cost). For example, generation PBRs have been proposed as part of Phase II, for example. Phase I of the case is</w:t>
      </w:r>
      <w:r>
        <w:rPr>
          <w:rFonts w:cs="Arial" w:ascii="Arial" w:hAnsi="Arial"/>
          <w:sz w:val="20"/>
          <w:u w:val="none"/>
        </w:rPr>
        <w:t xml:space="preserve"> </w:t>
      </w:r>
      <w:r>
        <w:rPr>
          <w:rFonts w:cs="Arial" w:ascii="Arial" w:hAnsi="Arial"/>
          <w:b/>
          <w:sz w:val="20"/>
          <w:u w:val="none"/>
        </w:rPr>
        <w:t>completed.  Phase II has completed hearings and we await the ALJ’s ruling.  Enron is participating through ARM and sharing the costs with four other parties.</w:t>
      </w:r>
    </w:p>
    <w:p>
      <w:pPr>
        <w:pStyle w:val="Normal"/>
        <w:rPr>
          <w:rFonts w:ascii="Arial" w:hAnsi="Arial" w:cs="Arial"/>
          <w:b/>
          <w:sz w:val="20"/>
          <w:u w:val="single"/>
        </w:rPr>
      </w:pPr>
      <w:r>
        <w:rPr>
          <w:rFonts w:cs="Arial"/>
          <w:b/>
          <w:sz w:val="20"/>
          <w:u w:val="single"/>
        </w:rPr>
      </w:r>
    </w:p>
    <w:p>
      <w:pPr>
        <w:pStyle w:val="Normal"/>
        <w:rPr>
          <w:sz w:val="20"/>
          <w:u w:val="single"/>
        </w:rPr>
      </w:pPr>
      <w:r>
        <w:rPr>
          <w:sz w:val="20"/>
          <w:u w:val="single"/>
        </w:rPr>
        <w:t xml:space="preserve">Asset Valuation Hydro:  </w:t>
      </w:r>
    </w:p>
    <w:p>
      <w:pPr>
        <w:pStyle w:val="Normal"/>
        <w:rPr>
          <w:sz w:val="20"/>
        </w:rPr>
      </w:pPr>
      <w:r>
        <w:rPr>
          <w:sz w:val="20"/>
        </w:rPr>
        <w:t>There are likely to be two phases to the proceeding.  The first will be to assign an interim value to the remaining generation assets held by PG&amp;E so as to allow for a timely end to the rate freeze.  The second phase will deal with the auction protocols and the ultimate true-up of PG&amp;E’s assets resulting from the auction process with the interim value.  In the second phase, Enron is participating through IEP.  The interest to EES is to have a timely roll-off of CTC so as to protect value of existing deals with customers.  ENA also has an interest in being able to approach government/public agencies that are under contract with PG&amp;E and buying out of those contracts.  Enron’s very public profile on this issue, along with our coalition work in Sacramento, has provided a lot of good will with potential customers of ENA, where ENA would partner with agencies interested in owning these assets and ENA would operate on their behalf.  ENA also has an interest in working with agencies who currently own their facilities but are interested in buying out of their contracts with PG&amp;E so that they can realize the profits of the marketplace, that are in excess of their current contract.  Relative to the latter, while it may be possible to establish a value for the contracts in the valuation proceeding, we have advised ENA, that it is unlikely that either the Commission or the Legislature will interfere with the contract.  Therefore, PG&amp;E must be willing party to negotiate a buy-out.</w:t>
      </w:r>
    </w:p>
    <w:p>
      <w:pPr>
        <w:pStyle w:val="Normal"/>
        <w:rPr>
          <w:sz w:val="20"/>
        </w:rPr>
      </w:pPr>
      <w:r>
        <w:rPr>
          <w:sz w:val="20"/>
        </w:rPr>
      </w:r>
    </w:p>
    <w:p>
      <w:pPr>
        <w:pStyle w:val="Normal"/>
        <w:rPr/>
      </w:pPr>
      <w:r>
        <w:rPr>
          <w:b/>
          <w:sz w:val="20"/>
          <w:u w:val="single"/>
        </w:rPr>
        <w:t>Revenue Adjustment Proceeding (RAP) 1999:</w:t>
      </w:r>
      <w:r>
        <w:rPr>
          <w:sz w:val="20"/>
          <w:u w:val="single"/>
        </w:rPr>
        <w:t xml:space="preserve"> </w:t>
      </w:r>
    </w:p>
    <w:p>
      <w:pPr>
        <w:pStyle w:val="Normal"/>
        <w:rPr>
          <w:sz w:val="20"/>
        </w:rPr>
      </w:pPr>
      <w:r>
        <w:rPr>
          <w:sz w:val="20"/>
        </w:rPr>
        <w:t xml:space="preserve">This proceeding will implement the points Enron won in Rap ’98.  The proceeding is to identify the costs of the utilities’ procurement and sales functions, which would then be added to the cost of generation. Our costs will be for both attorneys’ fees and outside consultants (MRW) to do intensive analysis of the UDCs’ costs.  Alliance for Retail Markets (ARM) has taken this case on.  As a result, we will share all costs with at least five other parties.  </w:t>
      </w:r>
    </w:p>
    <w:p>
      <w:pPr>
        <w:pStyle w:val="Normal"/>
        <w:rPr>
          <w:sz w:val="20"/>
        </w:rPr>
      </w:pPr>
      <w:r>
        <w:rPr>
          <w:sz w:val="20"/>
        </w:rPr>
      </w:r>
    </w:p>
    <w:p>
      <w:pPr>
        <w:pStyle w:val="Normal"/>
        <w:rPr>
          <w:sz w:val="20"/>
          <w:u w:val="single"/>
        </w:rPr>
      </w:pPr>
      <w:r>
        <w:rPr>
          <w:sz w:val="20"/>
          <w:u w:val="single"/>
        </w:rPr>
        <w:t xml:space="preserve">Revenue Cycle Services/Direct Access Service Fees:  </w:t>
      </w:r>
    </w:p>
    <w:p>
      <w:pPr>
        <w:pStyle w:val="Normal"/>
        <w:rPr>
          <w:sz w:val="20"/>
        </w:rPr>
      </w:pPr>
      <w:r>
        <w:rPr>
          <w:sz w:val="20"/>
        </w:rPr>
        <w:t xml:space="preserve">All three utilities were ordered to submit long-run marginal cost filings relative to providing revenue cycle services.   In addition, the utilities were ordered to submit their application for assessing fees for providing specific direct access services to direct access customers or ESPs.  The utilities are currently providing credits on a short-run avoided cost basis.  The expectation is that this case will result in a higher level of credits or unbundling of the costs from bundled rates.  The importance of this case is to identify the cost of the UDC in performing metering and billing services apart from the cost of providing distribution service.  The benefit will be to provide additional value to EES on existing contracts where Enron provides billing/metering services (CSC) and to allow for a faster return on investment for new customers.  </w:t>
      </w:r>
    </w:p>
    <w:p>
      <w:pPr>
        <w:pStyle w:val="Normal"/>
        <w:rPr>
          <w:sz w:val="20"/>
        </w:rPr>
      </w:pPr>
      <w:r>
        <w:rPr>
          <w:sz w:val="20"/>
        </w:rPr>
      </w:r>
    </w:p>
    <w:p>
      <w:pPr>
        <w:pStyle w:val="Normal"/>
        <w:rPr>
          <w:sz w:val="20"/>
        </w:rPr>
      </w:pPr>
      <w:r>
        <w:rPr>
          <w:sz w:val="20"/>
        </w:rPr>
        <w:t>On the service fee portion of the case, utilities submitted significant number of categories under which they would charge ESPS or their customers.  There is also a significant range of charges for similar services.  Many charges may be eliminated as duplicative of 376 costs.  We are hoping to raise issues relative to the bi-directional nature of resolving issues with the UDC so that both parties incur costs as part of the normal course of business.  We will also challenge UDC discretionary charges, where they believe they do not need CPUC approval because the markets are contestable.  This is important to Enron so that we are not hit with excessive charges from the UDC in providing service within the respective territories.</w:t>
      </w:r>
    </w:p>
    <w:p>
      <w:pPr>
        <w:pStyle w:val="Normal"/>
        <w:rPr>
          <w:sz w:val="20"/>
          <w:u w:val="single"/>
        </w:rPr>
      </w:pPr>
      <w:r>
        <w:rPr>
          <w:sz w:val="20"/>
          <w:u w:val="single"/>
        </w:rPr>
      </w:r>
    </w:p>
    <w:p>
      <w:pPr>
        <w:pStyle w:val="Normal"/>
        <w:rPr>
          <w:sz w:val="20"/>
        </w:rPr>
      </w:pPr>
      <w:r>
        <w:rPr>
          <w:sz w:val="20"/>
          <w:u w:val="single"/>
        </w:rPr>
        <w:t>Distributed Generation/Distribution Competition:</w:t>
      </w:r>
    </w:p>
    <w:p>
      <w:pPr>
        <w:pStyle w:val="Normal"/>
        <w:rPr/>
      </w:pPr>
      <w:r>
        <w:rPr>
          <w:sz w:val="20"/>
        </w:rPr>
        <w:t xml:space="preserve">This is a CPUC Rulemaking on:  (1) Distributed Generation; (2) Appropriate Role of the Utility in a Competitive Energy Market, and (3) Competition in Distribution.  The $40,000 put in for 2000 assumes that a coalition materializes as expected.  </w:t>
      </w:r>
      <w:r>
        <w:rPr>
          <w:color w:val="000000"/>
          <w:sz w:val="20"/>
          <w:lang w:eastAsia="en-US"/>
        </w:rPr>
        <w:t xml:space="preserve">Enron expects to be active in this proceeding to address issues such as the mitigation of incumbent market power, default provider options, and the role of the distribution-only utility.  ARM may decide to participate in this proceeding, in which case, the proposed costs would be shared.  The dollar amount budgeted assumes some sharing of costs.  </w:t>
      </w:r>
    </w:p>
    <w:p>
      <w:pPr>
        <w:pStyle w:val="Subject"/>
        <w:tabs>
          <w:tab w:val="left" w:pos="540" w:leader="none"/>
        </w:tabs>
        <w:rPr>
          <w:color w:val="000000"/>
          <w:sz w:val="20"/>
          <w:lang w:eastAsia="en-US"/>
        </w:rPr>
      </w:pPr>
      <w:r>
        <w:rPr>
          <w:color w:val="000000"/>
          <w:sz w:val="20"/>
          <w:lang w:eastAsia="en-US"/>
        </w:rPr>
      </w:r>
    </w:p>
    <w:p>
      <w:pPr>
        <w:pStyle w:val="Normal"/>
        <w:rPr>
          <w:color w:val="000000"/>
          <w:sz w:val="20"/>
          <w:lang w:eastAsia="en-US"/>
        </w:rPr>
      </w:pPr>
      <w:r>
        <w:rPr>
          <w:color w:val="000000"/>
          <w:sz w:val="20"/>
          <w:lang w:eastAsia="en-US"/>
        </w:rPr>
      </w:r>
    </w:p>
    <w:p>
      <w:pPr>
        <w:pStyle w:val="Heading2"/>
        <w:ind w:hanging="0" w:start="0"/>
        <w:jc w:val="start"/>
        <w:rPr/>
      </w:pPr>
      <w:r>
        <w:rPr>
          <w:rFonts w:cs="Arial" w:ascii="Arial" w:hAnsi="Arial"/>
          <w:b w:val="false"/>
          <w:sz w:val="20"/>
        </w:rPr>
        <w:t>SCE/SDG&amp;E Rate Proceedings</w:t>
      </w:r>
      <w:r>
        <w:rPr>
          <w:rFonts w:cs="Arial" w:ascii="Arial" w:hAnsi="Arial"/>
          <w:sz w:val="20"/>
          <w:u w:val="none"/>
        </w:rPr>
        <w:t>:</w:t>
      </w:r>
    </w:p>
    <w:p>
      <w:pPr>
        <w:pStyle w:val="Heading2"/>
        <w:ind w:hanging="0" w:start="0"/>
        <w:jc w:val="start"/>
        <w:rPr>
          <w:rFonts w:ascii="Arial" w:hAnsi="Arial" w:cs="Arial"/>
          <w:sz w:val="20"/>
          <w:u w:val="none"/>
        </w:rPr>
      </w:pPr>
      <w:r>
        <w:rPr>
          <w:rFonts w:cs="Arial" w:ascii="Arial" w:hAnsi="Arial"/>
          <w:sz w:val="20"/>
          <w:u w:val="none"/>
        </w:rPr>
        <w:t>San Diego recently filed new rates and SCE is expected to file on December 1.  We have reviewed the SDG&amp;E filing and may not have to participate extensively in that case.  The SCE filing, however, is expected to include proposals for generation rates and new flexibility in rates for bundled customers.  The budget is for a modest amount to participate in these cases as needed to limit incumbent rate flexibility and increase the size of the generation credit.</w:t>
      </w:r>
    </w:p>
    <w:p>
      <w:pPr>
        <w:pStyle w:val="Normal"/>
        <w:rPr>
          <w:rFonts w:ascii="Arial" w:hAnsi="Arial" w:cs="Arial"/>
          <w:sz w:val="20"/>
          <w:u w:val="none"/>
        </w:rPr>
      </w:pPr>
      <w:r>
        <w:rPr>
          <w:rFonts w:cs="Arial"/>
          <w:sz w:val="20"/>
          <w:u w:val="none"/>
        </w:rPr>
      </w:r>
    </w:p>
    <w:p>
      <w:pPr>
        <w:pStyle w:val="Heading5"/>
        <w:ind w:hanging="0" w:start="0"/>
        <w:rPr/>
      </w:pPr>
      <w:r>
        <w:rPr/>
        <w:t>Federal Military Base Privatization:</w:t>
      </w:r>
    </w:p>
    <w:p>
      <w:pPr>
        <w:pStyle w:val="Normal"/>
        <w:rPr>
          <w:sz w:val="20"/>
        </w:rPr>
      </w:pPr>
      <w:r>
        <w:rPr>
          <w:sz w:val="20"/>
        </w:rPr>
        <w:t>This matter comes at the request came from Bill Gang--VP of Federal Solutions in EES.  (Bob Frank part of team.)  The goal was, and remains, to secure from the California PUC ruling that the PUC would not exert jurisdiction over the winner of the Department of Defense's auction of the electric distribution system at Edward's Air Force Base in California.  Government affairs and EES are splitting the costs of outside counsel 50-50.</w:t>
      </w:r>
    </w:p>
    <w:p>
      <w:pPr>
        <w:pStyle w:val="Normal"/>
        <w:jc w:val="both"/>
        <w:rPr>
          <w:sz w:val="20"/>
        </w:rPr>
      </w:pPr>
      <w:r>
        <w:rPr>
          <w:sz w:val="20"/>
        </w:rPr>
      </w:r>
    </w:p>
    <w:p>
      <w:pPr>
        <w:pStyle w:val="Normal"/>
        <w:ind w:end="720"/>
        <w:rPr>
          <w:sz w:val="20"/>
          <w:u w:val="single"/>
        </w:rPr>
      </w:pPr>
      <w:r>
        <w:rPr>
          <w:sz w:val="20"/>
          <w:u w:val="single"/>
        </w:rPr>
        <w:t>PG&amp;E Performance-based Ratemaking Proposal:</w:t>
      </w:r>
    </w:p>
    <w:p>
      <w:pPr>
        <w:pStyle w:val="Subject"/>
        <w:tabs>
          <w:tab w:val="left" w:pos="540" w:leader="none"/>
        </w:tabs>
        <w:rPr/>
      </w:pPr>
      <w:r>
        <w:rPr/>
        <w:t>PG&amp;E application proposing to shift from cost of service regulation to performance-based ratemaking.  Directly affects PG&amp;E price curves.  Directly affects economics of existing “tariff minus” deals</w:t>
      </w:r>
    </w:p>
    <w:p>
      <w:pPr>
        <w:pStyle w:val="Normal"/>
        <w:rPr>
          <w:sz w:val="20"/>
        </w:rPr>
      </w:pPr>
      <w:r>
        <w:rPr>
          <w:sz w:val="20"/>
        </w:rPr>
      </w:r>
    </w:p>
    <w:p>
      <w:pPr>
        <w:pStyle w:val="Heading5"/>
        <w:ind w:hanging="0" w:start="0"/>
        <w:rPr/>
      </w:pPr>
      <w:r>
        <w:rPr/>
        <w:t>California PUC Proposed Rulemaking to Restructure California’s Natural Gas Industry:</w:t>
      </w:r>
    </w:p>
    <w:p>
      <w:pPr>
        <w:pStyle w:val="Normal"/>
        <w:rPr>
          <w:sz w:val="20"/>
        </w:rPr>
      </w:pPr>
      <w:r>
        <w:rPr>
          <w:sz w:val="20"/>
        </w:rPr>
        <w:t>Key features of case of this case are:  (1) Unbundling (Interstate and intrastate capacity, storage, hub services, balancing, RCS; (2) create firm, tradable capacity rights, and secondary market for those rights, for intrastate and storage capacity markets; and (3) Stranded costs.</w:t>
      </w:r>
    </w:p>
    <w:p>
      <w:pPr>
        <w:pStyle w:val="Normal"/>
        <w:jc w:val="both"/>
        <w:rPr>
          <w:sz w:val="20"/>
        </w:rPr>
      </w:pPr>
      <w:r>
        <w:rPr>
          <w:sz w:val="20"/>
        </w:rPr>
      </w:r>
    </w:p>
    <w:p>
      <w:pPr>
        <w:pStyle w:val="Normal"/>
        <w:rPr>
          <w:sz w:val="20"/>
        </w:rPr>
      </w:pPr>
      <w:r>
        <w:rPr>
          <w:sz w:val="20"/>
        </w:rPr>
        <w:t>The proceeding will be going to hearings in the first quarter of 2000 on a proposal devised by a coalition</w:t>
      </w:r>
    </w:p>
    <w:p>
      <w:pPr>
        <w:pStyle w:val="Normal"/>
        <w:rPr>
          <w:b/>
          <w:sz w:val="20"/>
        </w:rPr>
      </w:pPr>
      <w:r>
        <w:rPr>
          <w:b/>
          <w:sz w:val="20"/>
        </w:rPr>
      </w:r>
    </w:p>
    <w:p>
      <w:pPr>
        <w:pStyle w:val="Normal"/>
        <w:rPr/>
      </w:pPr>
      <w:r>
        <w:rPr>
          <w:b/>
          <w:sz w:val="20"/>
        </w:rPr>
        <w:t>Colorado:</w:t>
      </w:r>
      <w:r>
        <w:rPr>
          <w:sz w:val="20"/>
        </w:rPr>
        <w:tab/>
        <w:tab/>
        <w:t>Total of $0.  We may seek funding through the RCR process for certain resource development related matters.  ENA is considering whether to participate in PSCo’s 1999 IRP.</w:t>
      </w:r>
    </w:p>
    <w:p>
      <w:pPr>
        <w:pStyle w:val="Normal"/>
        <w:rPr>
          <w:sz w:val="20"/>
        </w:rPr>
      </w:pPr>
      <w:r>
        <w:rPr>
          <w:sz w:val="20"/>
        </w:rPr>
      </w:r>
    </w:p>
    <w:p>
      <w:pPr>
        <w:pStyle w:val="Normal"/>
        <w:rPr/>
      </w:pPr>
      <w:r>
        <w:rPr>
          <w:b/>
          <w:sz w:val="20"/>
        </w:rPr>
        <w:t>Idaho:</w:t>
      </w:r>
      <w:r>
        <w:rPr>
          <w:sz w:val="20"/>
        </w:rPr>
        <w:tab/>
        <w:tab/>
        <w:tab/>
        <w:t>Total of $0.</w:t>
      </w:r>
    </w:p>
    <w:p>
      <w:pPr>
        <w:pStyle w:val="Normal"/>
        <w:rPr>
          <w:sz w:val="20"/>
        </w:rPr>
      </w:pPr>
      <w:r>
        <w:rPr>
          <w:sz w:val="20"/>
        </w:rPr>
      </w:r>
    </w:p>
    <w:p>
      <w:pPr>
        <w:pStyle w:val="Normal"/>
        <w:rPr/>
      </w:pPr>
      <w:r>
        <w:rPr>
          <w:b/>
          <w:sz w:val="20"/>
        </w:rPr>
        <w:t>Montana:</w:t>
      </w:r>
      <w:r>
        <w:rPr>
          <w:sz w:val="20"/>
        </w:rPr>
        <w:tab/>
        <w:tab/>
        <w:t xml:space="preserve">Total of $0.   We may seek funding through the RCR process for:  (1) the PSC’s “default supplier” rulemakings; and (2) the PSC’s process for quantifying Montana Power Company’s stranded costs.   </w:t>
      </w:r>
    </w:p>
    <w:p>
      <w:pPr>
        <w:pStyle w:val="Normal"/>
        <w:rPr>
          <w:sz w:val="20"/>
        </w:rPr>
      </w:pPr>
      <w:r>
        <w:rPr>
          <w:sz w:val="20"/>
        </w:rPr>
      </w:r>
    </w:p>
    <w:p>
      <w:pPr>
        <w:pStyle w:val="Normal"/>
        <w:rPr/>
      </w:pPr>
      <w:r>
        <w:rPr>
          <w:b/>
          <w:sz w:val="20"/>
        </w:rPr>
        <w:t>Nevada:</w:t>
      </w:r>
      <w:r>
        <w:rPr>
          <w:sz w:val="20"/>
        </w:rPr>
        <w:tab/>
        <w:tab/>
        <w:t xml:space="preserve">Total of $0.  We expect to seek funding through the RCR process for local counsel on any of the ENA matters identified above. We may also seek RCR approval for retaining local counsel for EES’s expected filing of an application to be an alternative seller of discretionary and potentially competitive gas services.  </w:t>
      </w:r>
    </w:p>
    <w:p>
      <w:pPr>
        <w:pStyle w:val="Normal"/>
        <w:rPr>
          <w:sz w:val="20"/>
        </w:rPr>
      </w:pPr>
      <w:r>
        <w:rPr>
          <w:sz w:val="20"/>
        </w:rPr>
      </w:r>
    </w:p>
    <w:p>
      <w:pPr>
        <w:pStyle w:val="Subject"/>
        <w:tabs>
          <w:tab w:val="left" w:pos="540" w:leader="none"/>
        </w:tabs>
        <w:rPr/>
      </w:pPr>
      <w:r>
        <w:rPr>
          <w:rFonts w:eastAsia="Arial"/>
        </w:rPr>
        <w:t xml:space="preserve"> </w:t>
      </w:r>
      <w:r>
        <w:rPr/>
        <w:t xml:space="preserve">We also expect to seek RCR process approval for participation in the Nevada utility transition cost proceedings before the PUCN.  These proceedings are expected in the first quarter of 2000, but have not yet been scheduled.  Note that a coalition of new market entrants has been formed in Nevada.  New Energy, Coral Energy, and Green Mountain have each agreed to set aside $25,000 in their 2000 budgets for Nevada matters. </w:t>
      </w:r>
    </w:p>
    <w:p>
      <w:pPr>
        <w:pStyle w:val="Normal"/>
        <w:rPr>
          <w:sz w:val="20"/>
        </w:rPr>
      </w:pPr>
      <w:r>
        <w:rPr>
          <w:sz w:val="20"/>
        </w:rPr>
      </w:r>
    </w:p>
    <w:p>
      <w:pPr>
        <w:pStyle w:val="Normal"/>
        <w:rPr>
          <w:sz w:val="20"/>
        </w:rPr>
      </w:pPr>
      <w:r>
        <w:rPr>
          <w:sz w:val="20"/>
        </w:rPr>
        <w:t xml:space="preserve">We are assuming that funding for our efforts to get approval of the PGE sale will be provided through the sale proceeds and not from our budget.  </w:t>
      </w:r>
    </w:p>
    <w:p>
      <w:pPr>
        <w:pStyle w:val="Normal"/>
        <w:rPr>
          <w:sz w:val="20"/>
        </w:rPr>
      </w:pPr>
      <w:r>
        <w:rPr>
          <w:sz w:val="20"/>
        </w:rPr>
      </w:r>
    </w:p>
    <w:p>
      <w:pPr>
        <w:pStyle w:val="Normal"/>
        <w:rPr/>
      </w:pPr>
      <w:r>
        <w:rPr>
          <w:b/>
          <w:sz w:val="20"/>
        </w:rPr>
        <w:t>New Mexico:</w:t>
      </w:r>
      <w:r>
        <w:rPr>
          <w:sz w:val="20"/>
        </w:rPr>
        <w:tab/>
        <w:tab/>
        <w:t>Total of $0.</w:t>
      </w:r>
    </w:p>
    <w:p>
      <w:pPr>
        <w:pStyle w:val="Normal"/>
        <w:rPr>
          <w:sz w:val="20"/>
        </w:rPr>
      </w:pPr>
      <w:r>
        <w:rPr>
          <w:sz w:val="20"/>
        </w:rPr>
      </w:r>
    </w:p>
    <w:p>
      <w:pPr>
        <w:pStyle w:val="Normal"/>
        <w:rPr/>
      </w:pPr>
      <w:r>
        <w:rPr>
          <w:b/>
          <w:sz w:val="20"/>
        </w:rPr>
        <w:t>Oregon:</w:t>
      </w:r>
      <w:r>
        <w:rPr>
          <w:sz w:val="20"/>
        </w:rPr>
        <w:tab/>
        <w:tab/>
        <w:t xml:space="preserve">Total of $0.  We may seek approval to participate in Oregon’s SB 1149 implementation proceedings—should the PGE transaction be approved.  We are assuming that funding for our efforts to get approval of the PGE sale will be provided through the sale proceeds and not from our budget.  </w:t>
      </w:r>
    </w:p>
    <w:p>
      <w:pPr>
        <w:pStyle w:val="Normal"/>
        <w:rPr>
          <w:sz w:val="20"/>
        </w:rPr>
      </w:pPr>
      <w:r>
        <w:rPr>
          <w:sz w:val="20"/>
        </w:rPr>
      </w:r>
    </w:p>
    <w:p>
      <w:pPr>
        <w:pStyle w:val="Normal"/>
        <w:rPr/>
      </w:pPr>
      <w:r>
        <w:rPr>
          <w:b/>
          <w:sz w:val="20"/>
        </w:rPr>
        <w:t>Utah:</w:t>
        <w:tab/>
        <w:tab/>
      </w:r>
      <w:r>
        <w:rPr>
          <w:sz w:val="20"/>
        </w:rPr>
        <w:tab/>
        <w:tab/>
        <w:t>Total of $0.</w:t>
      </w:r>
    </w:p>
    <w:p>
      <w:pPr>
        <w:pStyle w:val="Normal"/>
        <w:rPr>
          <w:sz w:val="20"/>
        </w:rPr>
      </w:pPr>
      <w:r>
        <w:rPr>
          <w:sz w:val="20"/>
        </w:rPr>
      </w:r>
    </w:p>
    <w:p>
      <w:pPr>
        <w:pStyle w:val="Normal"/>
        <w:rPr/>
      </w:pPr>
      <w:r>
        <w:rPr>
          <w:b/>
          <w:sz w:val="20"/>
        </w:rPr>
        <w:t>Washington:</w:t>
      </w:r>
      <w:r>
        <w:rPr>
          <w:sz w:val="20"/>
        </w:rPr>
        <w:tab/>
        <w:tab/>
        <w:t>Total of $0.</w:t>
      </w:r>
    </w:p>
    <w:p>
      <w:pPr>
        <w:pStyle w:val="Normal"/>
        <w:rPr>
          <w:sz w:val="20"/>
        </w:rPr>
      </w:pPr>
      <w:r>
        <w:rPr>
          <w:sz w:val="20"/>
        </w:rPr>
      </w:r>
    </w:p>
    <w:p>
      <w:pPr>
        <w:pStyle w:val="Normal"/>
        <w:rPr/>
      </w:pPr>
      <w:r>
        <w:rPr>
          <w:b/>
          <w:sz w:val="20"/>
        </w:rPr>
        <w:t>Wyoming:</w:t>
      </w:r>
      <w:r>
        <w:rPr>
          <w:sz w:val="20"/>
        </w:rPr>
        <w:tab/>
        <w:tab/>
        <w:t>Total of $0.</w:t>
      </w:r>
    </w:p>
    <w:p>
      <w:pPr>
        <w:pStyle w:val="Normal"/>
        <w:rPr>
          <w:sz w:val="20"/>
        </w:rPr>
      </w:pPr>
      <w:r>
        <w:rPr>
          <w:sz w:val="20"/>
        </w:rPr>
      </w:r>
    </w:p>
    <w:p>
      <w:pPr>
        <w:pStyle w:val="Normal"/>
        <w:rPr/>
      </w:pPr>
      <w:r>
        <w:rPr>
          <w:b/>
          <w:sz w:val="20"/>
        </w:rPr>
        <w:t>Transmission:</w:t>
        <w:tab/>
      </w:r>
      <w:r>
        <w:rPr>
          <w:sz w:val="20"/>
        </w:rPr>
        <w:tab/>
      </w:r>
    </w:p>
    <w:p>
      <w:pPr>
        <w:pStyle w:val="Normal"/>
        <w:rPr>
          <w:sz w:val="20"/>
        </w:rPr>
      </w:pPr>
      <w:r>
        <w:rPr>
          <w:sz w:val="20"/>
        </w:rPr>
      </w:r>
    </w:p>
    <w:p>
      <w:pPr>
        <w:pStyle w:val="Heading6"/>
        <w:ind w:hanging="0" w:start="0"/>
        <w:rPr>
          <w:b w:val="false"/>
          <w:u w:val="single"/>
        </w:rPr>
      </w:pPr>
      <w:r>
        <w:rPr>
          <w:b w:val="false"/>
          <w:u w:val="single"/>
        </w:rPr>
        <w:t>Desert Star</w:t>
      </w:r>
    </w:p>
    <w:p>
      <w:pPr>
        <w:pStyle w:val="Normal"/>
        <w:rPr>
          <w:sz w:val="20"/>
        </w:rPr>
      </w:pPr>
      <w:r>
        <w:rPr>
          <w:sz w:val="20"/>
        </w:rPr>
        <w:t>We are seeking approval for the continuation of our efforts to develop the Desert Star RTO.  For this process we are seeking a total of $40,000, which would support the use of Tabors Caramanis for the first two months of 2000.  Proceeding on this basis will allow us to revisit our commitment to Desert Star on a regular basis.  Funding for Desert Star would be requested after the initial two months of 2000 through the RCR process.</w:t>
      </w:r>
    </w:p>
    <w:p>
      <w:pPr>
        <w:pStyle w:val="Normal"/>
        <w:rPr>
          <w:sz w:val="20"/>
        </w:rPr>
      </w:pPr>
      <w:r>
        <w:rPr>
          <w:sz w:val="20"/>
        </w:rPr>
      </w:r>
    </w:p>
    <w:p>
      <w:pPr>
        <w:pStyle w:val="Normal"/>
        <w:rPr>
          <w:sz w:val="20"/>
        </w:rPr>
      </w:pPr>
      <w:r>
        <w:rPr>
          <w:sz w:val="20"/>
        </w:rPr>
        <w:t xml:space="preserve">It is likely that we will need Tabors’ services in 2000 on California ISO matters.  We will seek approval to use Tabors on any matters involving the California ISO in the RCR process. </w:t>
      </w:r>
    </w:p>
    <w:p>
      <w:pPr>
        <w:pStyle w:val="Normal"/>
        <w:rPr>
          <w:sz w:val="20"/>
          <w:u w:val="single"/>
        </w:rPr>
      </w:pPr>
      <w:r>
        <w:rPr>
          <w:sz w:val="20"/>
          <w:u w:val="single"/>
        </w:rPr>
      </w:r>
    </w:p>
    <w:p>
      <w:pPr>
        <w:pStyle w:val="Normal"/>
        <w:rPr/>
      </w:pPr>
      <w:r>
        <w:rPr>
          <w:color w:val="000000"/>
          <w:sz w:val="20"/>
          <w:u w:val="single"/>
          <w:lang w:eastAsia="en-US"/>
        </w:rPr>
        <w:t>CA ISO Grid Management Charge (GMC</w:t>
      </w:r>
      <w:r>
        <w:rPr>
          <w:b/>
          <w:color w:val="000000"/>
          <w:sz w:val="20"/>
          <w:lang w:eastAsia="en-US"/>
        </w:rPr>
        <w:t>)</w:t>
      </w:r>
      <w:r>
        <w:rPr>
          <w:color w:val="000000"/>
          <w:sz w:val="20"/>
          <w:lang w:eastAsia="en-US"/>
        </w:rPr>
        <w:t xml:space="preserve"> </w:t>
      </w:r>
    </w:p>
    <w:p>
      <w:pPr>
        <w:pStyle w:val="Normal"/>
        <w:rPr>
          <w:color w:val="000000"/>
          <w:sz w:val="20"/>
          <w:lang w:eastAsia="en-US"/>
        </w:rPr>
      </w:pPr>
      <w:r>
        <w:rPr>
          <w:color w:val="000000"/>
          <w:sz w:val="20"/>
          <w:lang w:eastAsia="en-US"/>
        </w:rPr>
        <w:t>The GMC is the CA ISO's basic charge for its grid services.  We are litigating, as part of WPTF, basically one issue: whether the Existing Contract holders (I.E., the munis) should be subsidized by the new market participants for 50% of their service. Based upon data that we have received, the subsidy increases the rates of non-incumbent Scheduling coordinators (like EPMI) by $1.16 per MWh.  This increases EPMI's costs by well over $200,000 per year.  Although we were successful in getting a June 7, 1999 refund effective date established, the Commission has put off the litigation in this proceeding until 2001, although there could possibly be an interlocutory appeal in the interim.  The filings for the case are expected to be filed and prepared in 2000. Enron is participating as part of WPTF.  A RCR was approved for $50,000, which included about $15,000 for an expert witness, which is included in our budget for the western region.  Joe Hartsoe’s budget includes the legal portion of the budget of $35,000.  Enron is sharing costs with Coral.</w:t>
      </w:r>
    </w:p>
    <w:p>
      <w:pPr>
        <w:pStyle w:val="Normal"/>
        <w:rPr>
          <w:color w:val="000000"/>
          <w:sz w:val="20"/>
          <w:lang w:eastAsia="en-US"/>
        </w:rPr>
      </w:pPr>
      <w:r>
        <w:rPr>
          <w:color w:val="000000"/>
          <w:sz w:val="20"/>
          <w:lang w:eastAsia="en-US"/>
        </w:rPr>
      </w:r>
    </w:p>
    <w:p>
      <w:pPr>
        <w:pStyle w:val="Heading7"/>
        <w:ind w:hanging="0" w:start="0"/>
        <w:rPr/>
      </w:pPr>
      <w:r>
        <w:rPr/>
        <w:t>Technical Review of CA ISO New Generator Policy</w:t>
      </w:r>
    </w:p>
    <w:p>
      <w:pPr>
        <w:pStyle w:val="Normal"/>
        <w:rPr>
          <w:color w:val="000000"/>
          <w:sz w:val="20"/>
          <w:lang w:eastAsia="en-US"/>
        </w:rPr>
      </w:pPr>
      <w:r>
        <w:rPr>
          <w:color w:val="000000"/>
          <w:sz w:val="20"/>
          <w:lang w:eastAsia="en-US"/>
        </w:rPr>
        <w:t>This case involves whether localized congestion costs related to new generators should be paid by the new generators or rolled into the zone costs.  Enron helped form the ISO's proposal to charge these costs to the new generator in order to achieve cost certainty (the alternative proposal could lead to the creation of new zones with attendant cost uncertainties).  FERC recently issued a decision that rejected the ISO's proposal but signaled that there should be a stakeholder fix.  This budget amount is for technical support by an outside consultant to discuss options with stakeholders and ISO personnel and assist in drafting any necessary FERC filings.</w:t>
      </w:r>
    </w:p>
    <w:p>
      <w:pPr>
        <w:pStyle w:val="Normal"/>
        <w:rPr>
          <w:color w:val="000000"/>
          <w:sz w:val="20"/>
          <w:u w:val="single"/>
          <w:lang w:eastAsia="en-US"/>
        </w:rPr>
      </w:pPr>
      <w:r>
        <w:rPr>
          <w:color w:val="000000"/>
          <w:sz w:val="20"/>
          <w:u w:val="single"/>
          <w:lang w:eastAsia="en-US"/>
        </w:rPr>
      </w:r>
    </w:p>
    <w:p>
      <w:pPr>
        <w:pStyle w:val="Normal"/>
        <w:rPr/>
      </w:pPr>
      <w:r>
        <w:rPr>
          <w:color w:val="000000"/>
          <w:sz w:val="20"/>
          <w:u w:val="single"/>
          <w:lang w:eastAsia="en-US"/>
        </w:rPr>
        <w:t>Technical Review of CA ISO Market Report to FERC</w:t>
      </w:r>
      <w:r>
        <w:rPr>
          <w:color w:val="000000"/>
          <w:sz w:val="20"/>
          <w:lang w:eastAsia="en-US"/>
        </w:rPr>
        <w:t xml:space="preserve"> </w:t>
      </w:r>
    </w:p>
    <w:p>
      <w:pPr>
        <w:pStyle w:val="Normal"/>
        <w:rPr>
          <w:color w:val="000000"/>
          <w:sz w:val="20"/>
          <w:lang w:eastAsia="en-US"/>
        </w:rPr>
      </w:pPr>
      <w:r>
        <w:rPr>
          <w:color w:val="000000"/>
          <w:sz w:val="20"/>
          <w:lang w:eastAsia="en-US"/>
        </w:rPr>
        <w:t>FERC ordered the CA ISO to perform studies that re-examine certain elements of the ISO's original market design.  The studies specified were: the effectiveness of the criteria for creating new congestion zones; scaled marginal losses vs. full marginal losses; and one part ancillary services bids vs. two-part bids.  These studies must be filed by November 30, 1999.  The ISO has just released drafts.  The proposed budget is for technical review of the draft by an outside consultant.</w:t>
      </w:r>
    </w:p>
    <w:p>
      <w:pPr>
        <w:pStyle w:val="Normal"/>
        <w:rPr>
          <w:color w:val="000000"/>
          <w:sz w:val="20"/>
          <w:u w:val="single"/>
          <w:lang w:eastAsia="en-US"/>
        </w:rPr>
      </w:pPr>
      <w:r>
        <w:rPr>
          <w:color w:val="000000"/>
          <w:sz w:val="20"/>
          <w:u w:val="single"/>
          <w:lang w:eastAsia="en-US"/>
        </w:rPr>
      </w:r>
    </w:p>
    <w:p>
      <w:pPr>
        <w:pStyle w:val="Normal"/>
        <w:rPr/>
      </w:pPr>
      <w:r>
        <w:rPr>
          <w:color w:val="000000"/>
          <w:sz w:val="20"/>
          <w:u w:val="single"/>
          <w:lang w:eastAsia="en-US"/>
        </w:rPr>
        <w:t>Technical Analysis of New CA ISO Zone</w:t>
      </w:r>
      <w:r>
        <w:rPr>
          <w:color w:val="000000"/>
          <w:sz w:val="20"/>
          <w:lang w:eastAsia="en-US"/>
        </w:rPr>
        <w:t xml:space="preserve"> </w:t>
      </w:r>
    </w:p>
    <w:p>
      <w:pPr>
        <w:pStyle w:val="Normal"/>
        <w:rPr>
          <w:sz w:val="20"/>
        </w:rPr>
      </w:pPr>
      <w:r>
        <w:rPr>
          <w:color w:val="000000"/>
          <w:sz w:val="20"/>
          <w:lang w:eastAsia="en-US"/>
        </w:rPr>
        <w:t>The CA ISO has received FERC approval to establish a new congestion zone on Path 26 in SCE’s service area.  The new zone will be implemented on Feb 1.  ENA has requested a very quick technical analysis of the new zone to use in developing their pricing strategy.  The budget amount is for an outside technical consultant to perform the study</w:t>
      </w:r>
    </w:p>
    <w:p>
      <w:pPr>
        <w:pStyle w:val="Normal"/>
        <w:rPr>
          <w:sz w:val="20"/>
        </w:rPr>
      </w:pPr>
      <w:r>
        <w:rPr>
          <w:sz w:val="20"/>
        </w:rPr>
      </w:r>
    </w:p>
    <w:p>
      <w:pPr>
        <w:pStyle w:val="Heading2"/>
        <w:ind w:hanging="0" w:start="0"/>
        <w:rPr>
          <w:rFonts w:ascii="Arial" w:hAnsi="Arial" w:cs="Arial"/>
          <w:sz w:val="20"/>
        </w:rPr>
      </w:pPr>
      <w:r>
        <w:rPr>
          <w:rFonts w:cs="Arial" w:ascii="Arial" w:hAnsi="Arial"/>
          <w:sz w:val="20"/>
        </w:rPr>
        <w:t>Operating Costs--$667,500</w:t>
      </w:r>
    </w:p>
    <w:p>
      <w:pPr>
        <w:pStyle w:val="Normal"/>
        <w:tabs>
          <w:tab w:val="left" w:pos="540" w:leader="none"/>
          <w:tab w:val="left" w:pos="1350" w:leader="none"/>
        </w:tabs>
        <w:rPr>
          <w:b/>
          <w:sz w:val="20"/>
        </w:rPr>
      </w:pPr>
      <w:r>
        <w:rPr>
          <w:b/>
          <w:sz w:val="20"/>
        </w:rPr>
        <w:t>California Reporting Requirements:</w:t>
        <w:tab/>
        <w:t xml:space="preserve">$10,000 has been included in the budget for Richard Eichman, CPA.  Eichman completes and undertakes our reporting and accounting obligations under California reporting statutes. </w:t>
      </w:r>
    </w:p>
    <w:p>
      <w:pPr>
        <w:pStyle w:val="Normal"/>
        <w:tabs>
          <w:tab w:val="left" w:pos="540" w:leader="none"/>
          <w:tab w:val="left" w:pos="1350" w:leader="none"/>
        </w:tabs>
        <w:rPr>
          <w:b/>
          <w:sz w:val="20"/>
        </w:rPr>
      </w:pPr>
      <w:r>
        <w:rPr>
          <w:b/>
          <w:sz w:val="20"/>
        </w:rPr>
      </w:r>
    </w:p>
    <w:p>
      <w:pPr>
        <w:pStyle w:val="Normal"/>
        <w:tabs>
          <w:tab w:val="left" w:pos="540" w:leader="none"/>
          <w:tab w:val="left" w:pos="1350" w:leader="none"/>
        </w:tabs>
        <w:rPr>
          <w:b/>
          <w:sz w:val="20"/>
        </w:rPr>
      </w:pPr>
      <w:r>
        <w:rPr>
          <w:b/>
          <w:sz w:val="20"/>
        </w:rPr>
        <w:t>Temporary Administrative Assistance:</w:t>
        <w:tab/>
        <w:t>$17,500  has been included for “temps” needed to re place Joseph Alamo or Lysa Akin when they are absent for extended periods.</w:t>
      </w:r>
    </w:p>
    <w:p>
      <w:pPr>
        <w:pStyle w:val="Normal"/>
        <w:tabs>
          <w:tab w:val="left" w:pos="540" w:leader="none"/>
          <w:tab w:val="left" w:pos="1350" w:leader="none"/>
        </w:tabs>
        <w:rPr>
          <w:b/>
          <w:sz w:val="20"/>
        </w:rPr>
      </w:pPr>
      <w:r>
        <w:rPr>
          <w:b/>
          <w:sz w:val="20"/>
        </w:rPr>
      </w:r>
    </w:p>
    <w:p>
      <w:pPr>
        <w:pStyle w:val="Normal"/>
        <w:tabs>
          <w:tab w:val="left" w:pos="540" w:leader="none"/>
          <w:tab w:val="left" w:pos="1350" w:leader="none"/>
        </w:tabs>
        <w:rPr/>
      </w:pPr>
      <w:r>
        <w:rPr>
          <w:b/>
          <w:sz w:val="20"/>
        </w:rPr>
        <w:t>Business Expense:</w:t>
      </w:r>
      <w:r>
        <w:rPr>
          <w:sz w:val="20"/>
        </w:rPr>
        <w:tab/>
        <w:t xml:space="preserve">Our proposed business expense budget reflects the following estimates for travel.  A total of $350,000 consisting of:  (1) $135,000 for California office; (2) $155,000 for Phoenix office (Tom Delaney and Marcie Milner); and (3) $60,000 for Paul Kaufman.   </w:t>
      </w:r>
    </w:p>
    <w:p>
      <w:pPr>
        <w:pStyle w:val="Normal"/>
        <w:ind w:hanging="2160" w:start="2160" w:end="0"/>
        <w:rPr>
          <w:sz w:val="20"/>
        </w:rPr>
      </w:pPr>
      <w:r>
        <w:rPr>
          <w:sz w:val="20"/>
        </w:rPr>
      </w:r>
    </w:p>
    <w:p>
      <w:pPr>
        <w:pStyle w:val="Normal"/>
        <w:rPr/>
      </w:pPr>
      <w:r>
        <w:rPr>
          <w:b/>
          <w:sz w:val="20"/>
        </w:rPr>
        <w:t>Office Supplies:</w:t>
      </w:r>
      <w:r>
        <w:rPr>
          <w:sz w:val="20"/>
        </w:rPr>
        <w:tab/>
        <w:t>Total of $ 120,000 consisting of  $10,000/month.  This estimate is greater than our 1999 estimate, but reflects our annualized expenses for 1999.   We are currently reviewing our to date office supply expense to determine if the recorded figures reflect improperly coded entries.</w:t>
      </w:r>
    </w:p>
    <w:p>
      <w:pPr>
        <w:pStyle w:val="Normal"/>
        <w:rPr>
          <w:b/>
          <w:sz w:val="20"/>
        </w:rPr>
      </w:pPr>
      <w:r>
        <w:rPr>
          <w:b/>
          <w:sz w:val="20"/>
        </w:rPr>
      </w:r>
    </w:p>
    <w:p>
      <w:pPr>
        <w:pStyle w:val="BodyTextIndent"/>
        <w:ind w:hanging="0" w:start="0" w:end="0"/>
        <w:rPr/>
      </w:pPr>
      <w:r>
        <w:rPr>
          <w:rFonts w:cs="Arial" w:ascii="Arial" w:hAnsi="Arial"/>
          <w:b/>
          <w:sz w:val="20"/>
        </w:rPr>
        <w:t>Rent</w:t>
      </w:r>
      <w:r>
        <w:rPr>
          <w:rFonts w:cs="Arial" w:ascii="Arial" w:hAnsi="Arial"/>
          <w:sz w:val="20"/>
        </w:rPr>
        <w:t>:</w:t>
        <w:tab/>
        <w:t xml:space="preserve">Total of $170,000.  We understand that rent for the California office is in a state of flux.  This number includes:  (1) $130,000 for the San Francisco office; (2) $20,000 for Phoenix office expense; and (3) $20,000 for the Portland office.  We understand that rent for Paul Kaufman and Lysa Akin is prorated among the various ENA functions; accordingly the $20,000 is a reserve against a change in policy by ENA.  </w:t>
      </w:r>
    </w:p>
    <w:p>
      <w:pPr>
        <w:pStyle w:val="BodyTextIndent"/>
        <w:ind w:hanging="0" w:start="0" w:end="0"/>
        <w:rPr>
          <w:rFonts w:ascii="Arial" w:hAnsi="Arial" w:cs="Arial"/>
          <w:sz w:val="20"/>
        </w:rPr>
      </w:pPr>
      <w:r>
        <w:rPr>
          <w:rFonts w:cs="Arial" w:ascii="Arial" w:hAnsi="Arial"/>
          <w:sz w:val="20"/>
        </w:rPr>
      </w:r>
    </w:p>
    <w:p>
      <w:pPr>
        <w:pStyle w:val="Body"/>
        <w:ind w:start="0" w:end="0"/>
        <w:jc w:val="center"/>
        <w:rPr>
          <w:color w:val="auto"/>
        </w:rPr>
      </w:pPr>
      <w:r>
        <w:rPr>
          <w:color w:val="auto"/>
        </w:rPr>
        <w:t>^^^</w:t>
      </w:r>
    </w:p>
    <w:p>
      <w:pPr>
        <w:pStyle w:val="Body"/>
        <w:ind w:start="0" w:end="0"/>
        <w:jc w:val="center"/>
        <w:rPr>
          <w:color w:val="auto"/>
        </w:rPr>
      </w:pPr>
      <w:r>
        <w:rPr>
          <w:color w:val="auto"/>
        </w:rPr>
      </w:r>
    </w:p>
    <w:p>
      <w:pPr>
        <w:pStyle w:val="Body"/>
        <w:ind w:start="0" w:end="0"/>
        <w:rPr>
          <w:color w:val="auto"/>
        </w:rPr>
      </w:pPr>
      <w:r>
        <w:rPr>
          <w:color w:val="auto"/>
        </w:rPr>
        <w:t>We look forward to talking with you tomorrow afternoon.</w:t>
      </w:r>
    </w:p>
    <w:p>
      <w:pPr>
        <w:pStyle w:val="Department"/>
        <w:rPr>
          <w:color w:val="auto"/>
        </w:rPr>
      </w:pPr>
      <w:r>
        <w:rPr>
          <w:color w:val="auto"/>
        </w:rPr>
      </w:r>
    </w:p>
    <w:sectPr>
      <w:headerReference w:type="default" r:id="rId4"/>
      <w:headerReference w:type="first" r:id="rId5"/>
      <w:footerReference w:type="default" r:id="rId6"/>
      <w:footerReference w:type="first" r:id="rId7"/>
      <w:footnotePr>
        <w:numFmt w:val="decimal"/>
      </w:footnotePr>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lineRule="atLeast" w:line="240"/>
        <w:rPr/>
      </w:pPr>
      <w:r>
        <w:rPr>
          <w:rStyle w:val="FootnoteCharacters"/>
        </w:rPr>
        <w:footnoteRef/>
      </w:r>
      <w:r>
        <w:rPr/>
        <w:t xml:space="preserve"> </w:t>
      </w:r>
      <w:r>
        <w:rPr>
          <w:color w:val="000000"/>
          <w:sz w:val="20"/>
          <w:lang w:eastAsia="en-US"/>
        </w:rPr>
        <w:t xml:space="preserve">While Sandi focuses on Sacramento during the legislative session, she is also involved in working with state agencies and in a variety of community affairs responsibilities relating to ENA’s efforts to develop the Tejon Ranch power plant.  </w:t>
      </w:r>
    </w:p>
    <w:p>
      <w:pPr>
        <w:pStyle w:val="Normal"/>
        <w:spacing w:lineRule="atLeast" w:line="240"/>
        <w:rPr>
          <w:color w:val="000000"/>
          <w:sz w:val="20"/>
          <w:lang w:eastAsia="en-US"/>
        </w:rPr>
      </w:pPr>
      <w:r>
        <w:rPr>
          <w:color w:val="000000"/>
          <w:sz w:val="20"/>
          <w:lang w:eastAsia="en-US"/>
        </w:rPr>
      </w:r>
    </w:p>
    <w:p>
      <w:pPr>
        <w:pStyle w:val="FootnoteText"/>
        <w:rPr>
          <w:color w:val="000000"/>
          <w:sz w:val="20"/>
          <w:lang w:eastAsia="en-US"/>
        </w:rPr>
      </w:pPr>
      <w:r>
        <w:rPr>
          <w:color w:val="000000"/>
          <w:sz w:val="20"/>
          <w:lang w:eastAsia="en-US"/>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9</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u w:val="single"/>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ind w:hanging="0" w:start="0" w:end="720"/>
      <w:jc w:val="both"/>
      <w:outlineLvl w:val="3"/>
    </w:pPr>
    <w:rPr>
      <w:sz w:val="20"/>
      <w:u w:val="single"/>
    </w:rPr>
  </w:style>
  <w:style w:type="paragraph" w:styleId="Heading5">
    <w:name w:val="heading 5"/>
    <w:basedOn w:val="Normal"/>
    <w:next w:val="Normal"/>
    <w:qFormat/>
    <w:pPr>
      <w:keepNext w:val="true"/>
      <w:numPr>
        <w:ilvl w:val="4"/>
        <w:numId w:val="1"/>
      </w:numPr>
      <w:jc w:val="both"/>
      <w:outlineLvl w:val="4"/>
    </w:pPr>
    <w:rPr>
      <w:sz w:val="20"/>
      <w:u w:val="single"/>
    </w:rPr>
  </w:style>
  <w:style w:type="paragraph" w:styleId="Heading6">
    <w:name w:val="heading 6"/>
    <w:basedOn w:val="Normal"/>
    <w:next w:val="Normal"/>
    <w:qFormat/>
    <w:pPr>
      <w:keepNext w:val="true"/>
      <w:numPr>
        <w:ilvl w:val="5"/>
        <w:numId w:val="1"/>
      </w:numPr>
      <w:outlineLvl w:val="5"/>
    </w:pPr>
    <w:rPr>
      <w:b/>
      <w:sz w:val="20"/>
    </w:rPr>
  </w:style>
  <w:style w:type="paragraph" w:styleId="Heading7">
    <w:name w:val="heading 7"/>
    <w:basedOn w:val="Normal"/>
    <w:next w:val="Normal"/>
    <w:qFormat/>
    <w:pPr>
      <w:keepNext w:val="true"/>
      <w:numPr>
        <w:ilvl w:val="6"/>
        <w:numId w:val="1"/>
      </w:numPr>
      <w:outlineLvl w:val="6"/>
    </w:pPr>
    <w:rPr>
      <w:color w:val="000000"/>
      <w:sz w:val="20"/>
      <w:u w:val="single"/>
      <w:lang w:eastAsia="en-US"/>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pPr>
    <w:rPr>
      <w:color w:val="000000"/>
      <w:sz w:val="2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2160" w:start="2160" w:end="0"/>
    </w:pPr>
    <w:rPr>
      <w:rFonts w:ascii="Times New Roman" w:hAnsi="Times New Roman" w:cs="Times New Roman"/>
    </w:rPr>
  </w:style>
  <w:style w:type="paragraph" w:styleId="FootnoteText">
    <w:name w:val="footnote text"/>
    <w:basedOn w:val="Normal"/>
    <w:pPr/>
    <w:rPr>
      <w:sz w:val="20"/>
    </w:rPr>
  </w:style>
  <w:style w:type="paragraph" w:styleId="BodyText2">
    <w:name w:val="Body Text 2"/>
    <w:basedOn w:val="Normal"/>
    <w:qFormat/>
    <w:pPr>
      <w:ind w:hanging="0" w:start="0" w:end="72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1999-11-30T21:41:00Z</dcterms:created>
  <dc:creator>Jeff Ford</dc:creator>
  <dc:description/>
  <dc:language>en-CA</dc:language>
  <cp:lastModifiedBy>pkaufma</cp:lastModifiedBy>
  <cp:lastPrinted>1999-11-30T14:57:00Z</cp:lastPrinted>
  <dcterms:modified xsi:type="dcterms:W3CDTF">1999-11-30T21:41:00Z</dcterms:modified>
  <cp:revision>2</cp:revision>
  <dc:subject>Comments on Load Forecasting/Data Requirements Proposed Regulations</dc:subject>
  <dc:title>Eron Capital &amp; Trade Resources Memo</dc:title>
</cp:coreProperties>
</file>