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Times New Roman" w:hAnsi="Times New Roman" w:cs="Times New Roman"/>
          <w:smallCaps/>
          <w:shadow/>
          <w:color w:val="000080"/>
          <w:sz w:val="18"/>
        </w:rPr>
      </w:pPr>
      <w:r>
        <w:rPr>
          <w:rFonts w:cs="Times New Roman" w:ascii="Times New Roman" w:hAnsi="Times New Roman"/>
          <w:smallCaps/>
          <w:shadow/>
          <w:color w:val="000080"/>
          <w:sz w:val="56"/>
        </w:rPr>
        <mc:AlternateContent>
          <mc:Choice Requires="wps">
            <w:drawing>
              <wp:anchor behindDoc="0" distT="0" distB="0" distL="114935" distR="114935" simplePos="0" locked="0" layoutInCell="1" allowOverlap="1" relativeHeight="5">
                <wp:simplePos x="0" y="0"/>
                <wp:positionH relativeFrom="column">
                  <wp:posOffset>365760</wp:posOffset>
                </wp:positionH>
                <wp:positionV relativeFrom="paragraph">
                  <wp:posOffset>91440</wp:posOffset>
                </wp:positionV>
                <wp:extent cx="6035040" cy="2286000"/>
                <wp:effectExtent l="6350" t="6985" r="45085" b="0"/>
                <wp:wrapNone/>
                <wp:docPr id="1" name=""/>
                <a:graphic xmlns:a="http://schemas.openxmlformats.org/drawingml/2006/main">
                  <a:graphicData uri="http://schemas.microsoft.com/office/word/2010/wordprocessingShape">
                    <wps:wsp>
                      <wps:cNvSpPr txBox="1"/>
                      <wps:spPr>
                        <a:xfrm>
                          <a:off x="0" y="0"/>
                          <a:ext cx="6035040" cy="2286000"/>
                        </a:xfrm>
                        <a:prstGeom prst="rect">
                          <a:avLst/>
                        </a:prstGeom>
                      </wps:spPr>
                      <wps:txbx>
                        <w:txbxContent>
                          <w:p>
                            <w:pPr>
                              <w:overflowPunct w:val="false"/>
                              <w:bidi w:val="0"/>
                              <w:rPr/>
                            </w:pPr>
                            <w:r>
                              <w:rPr>
                                <w:kern w:val="2"/>
                                <w:b/>
                                <w:szCs w:val="24"/>
                                <w:i w:val="false"/>
                                <w:spacing w:val="1"/>
                                <w:rFonts w:ascii="Georgia" w:hAnsi="Georgia" w:eastAsia="Georgia" w:cs="Georgia"/>
                                <w:color w:val="FFFFFF"/>
                                <w:lang w:val="en-CA"/>
                                <w14:textOutline w14:w="12600" w14:cap="flat" w14:cmpd="sng">
                                  <w14:solidFill>
                                    <w14:srgbClr w14:val="000000"/>
                                  </w14:solidFill>
                                  <w14:miter w14:lim="0"/>
                                </w14:textOutline>
                                <w14:textFill>
                                  <w14:solidFill>
                                    <w14:srgbClr w14:val="ffffff"/>
                                  </w14:solidFill>
                                </w14:textFill>
                              </w:rPr>
                              <w:t>Capitol Budget Brief</w:t>
                            </w:r>
                          </w:p>
                        </w:txbxContent>
                      </wps:txbx>
                      <wps:bodyPr wrap="square" lIns="0" rIns="0" tIns="0" bIns="0" anchor="t" anchorCtr="1">
                        <a:prstTxWarp prst="textDeflateInflate">
                          <a:avLst>
                            <a:gd name="adj" fmla="val 30093"/>
                          </a:avLst>
                        </a:prstTxWarp>
                        <a:noAutofit/>
                      </wps:bodyPr>
                    </wps:wsp>
                  </a:graphicData>
                </a:graphic>
              </wp:anchor>
            </w:drawing>
          </mc:Choice>
          <mc:Fallback>
            <w:pict>
              <v:shapetype id="_x0000_t166" coordsize="21600,21600" o:spt="166" adj="6054" path="m,l21600,m,10125c7200@1,14400@1,21600,10125m,11475c7200@2,14400@2,21600,11475m,21600r21600,e">
                <v:formulas>
                  <v:f eqn="prod #0 4 3"/>
                  <v:f eqn="sum @0 0 4275"/>
                  <v:f eqn="sum @0 0 2925"/>
                </v:formulas>
                <v:path textpathok="t" o:connecttype="rect"/>
                <v:textpath on="t" fitshape="t" xscale="t"/>
                <v:handles>
                  <v:h position="center,#0" yrange="1308,20292"/>
                </v:handles>
                <o:lock v:ext="edit" text="t" shapetype="t"/>
              </v:shapetype>
              <v:shape id="shape_0" adj="6500" fillcolor="white" stroked="t" o:allowincell="f" style="position:absolute;margin-left:28.8pt;margin-top:7.2pt;width:475.15pt;height:179.95pt;mso-wrap-style:none;v-text-anchor:middle" type="_x0000_t166">
                <v:path textpathok="t"/>
                <v:textpath on="t" fitshape="t" string="Capitol Budget Brief" style="font-family:&quot;Georgia&quot;;font-size:12pt;font-weight:bold" trim="t"/>
                <v:fill o:detectmouseclick="t" type="solid" color2="black"/>
                <v:stroke color="black" weight="12600" joinstyle="miter" endcap="flat"/>
                <v:shadow on="t" obscured="f" color="gray"/>
                <w10:wrap type="none"/>
              </v:shap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172.8pt;margin-top:122.4pt;width:332.95pt;height:50.35pt;mso-wrap-style:none;v-text-anchor:middle" type="_x0000_t136">
            <v:path textpathok="t"/>
            <v:textpath on="t" fitshape="t" string="George Runner&#10;Vice Chair, Budget Committee" style="font-family:&quot;Times New Roman&quot;;font-size:12pt" trim="t"/>
            <v:fill o:detectmouseclick="t" type="solid" color2="black"/>
            <v:stroke color="white" weight="9360" joinstyle="miter" endcap="flat"/>
            <w10:wrap type="none"/>
          </v:shape>
        </w:pict>
        <w:drawing>
          <wp:inline distT="0" distB="0" distL="0" distR="0">
            <wp:extent cx="6614795" cy="22860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9" t="-24" r="-19" b="-24"/>
                    <a:stretch>
                      <a:fillRect/>
                    </a:stretch>
                  </pic:blipFill>
                  <pic:spPr bwMode="auto">
                    <a:xfrm>
                      <a:off x="0" y="0"/>
                      <a:ext cx="6614795" cy="2286000"/>
                    </a:xfrm>
                    <a:prstGeom prst="rect">
                      <a:avLst/>
                    </a:prstGeom>
                    <a:noFill/>
                  </pic:spPr>
                </pic:pic>
              </a:graphicData>
            </a:graphic>
          </wp:inline>
        </w:drawing>
      </w:r>
    </w:p>
    <w:p>
      <w:pPr>
        <w:pStyle w:val="Header"/>
        <w:tabs>
          <w:tab w:val="clear" w:pos="4320"/>
          <w:tab w:val="clear" w:pos="8640"/>
        </w:tabs>
        <w:rPr>
          <w:rFonts w:ascii="Times New Roman" w:hAnsi="Times New Roman" w:cs="Times New Roman"/>
          <w:b/>
          <w:smallCaps/>
          <w:shadow/>
          <w:color w:val="000080"/>
          <w:sz w:val="18"/>
          <w:lang w:val="en-CA"/>
        </w:rPr>
      </w:pPr>
      <w:r>
        <w:rPr>
          <w:rFonts w:cs="Times New Roman"/>
          <w:b/>
          <w:smallCaps/>
          <w:shadow/>
          <w:color w:val="000080"/>
          <w:sz w:val="18"/>
          <w:lang w:val="en-CA"/>
        </w:rP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90805</wp:posOffset>
                </wp:positionV>
                <wp:extent cx="6583680" cy="0"/>
                <wp:effectExtent l="0" t="38100" r="0" b="38100"/>
                <wp:wrapNone/>
                <wp:docPr id="4" name=""/>
                <a:graphic xmlns:a="http://schemas.openxmlformats.org/drawingml/2006/main">
                  <a:graphicData uri="http://schemas.microsoft.com/office/word/2010/wordprocessingShape">
                    <wps:wsp>
                      <wps:cNvSpPr/>
                      <wps:spPr>
                        <a:xfrm>
                          <a:off x="0" y="0"/>
                          <a:ext cx="6583680" cy="0"/>
                        </a:xfrm>
                        <a:prstGeom prst="line">
                          <a:avLst/>
                        </a:prstGeom>
                        <a:ln w="76320">
                          <a:solidFill>
                            <a:srgbClr val="000080"/>
                          </a:solidFill>
                          <a:miter/>
                        </a:ln>
                      </wps:spPr>
                      <wps:style>
                        <a:lnRef idx="0"/>
                        <a:fillRef idx="0"/>
                        <a:effectRef idx="0"/>
                        <a:fontRef idx="minor"/>
                      </wps:style>
                      <wps:bodyPr/>
                    </wps:wsp>
                  </a:graphicData>
                </a:graphic>
              </wp:anchor>
            </w:drawing>
          </mc:Choice>
          <mc:Fallback>
            <w:pict>
              <v:line id="shape_0" from="0pt,7.15pt" to="518.35pt,7.15pt" stroked="t" o:allowincell="f" style="position:absolute">
                <v:stroke color="navy" weight="76320" joinstyle="miter" endcap="flat"/>
                <v:fill o:detectmouseclick="t" on="false"/>
                <w10:wrap type="none"/>
              </v:line>
            </w:pict>
          </mc:Fallback>
        </mc:AlternateContent>
      </w:r>
    </w:p>
    <w:p>
      <w:pPr>
        <w:pStyle w:val="Normal"/>
        <w:pBdr>
          <w:bottom w:val="single" w:sz="18" w:space="3" w:color="000000"/>
        </w:pBdr>
        <w:rPr>
          <w:rFonts w:ascii="Times New Roman" w:hAnsi="Times New Roman" w:cs="Times New Roman"/>
          <w:b/>
          <w:smallCaps/>
          <w:color w:val="800000"/>
          <w:sz w:val="22"/>
        </w:rPr>
      </w:pPr>
      <w:r>
        <w:rPr>
          <w:rFonts w:cs="Times New Roman" w:ascii="Times New Roman" w:hAnsi="Times New Roman"/>
          <w:color w:val="800000"/>
          <w:sz w:val="22"/>
        </w:rPr>
        <w:t>A Legislator’s Guide to Current State Budget Issues</w:t>
        <w:tab/>
        <w:tab/>
        <w:t xml:space="preserve">May 8, 2001 </w:t>
        <w:tab/>
        <w:tab/>
        <w:tab/>
        <w:t>Vol. 2</w:t>
        <w:tab/>
        <w:t xml:space="preserve"> No. 4 </w:t>
      </w:r>
    </w:p>
    <w:p>
      <w:pPr>
        <w:pStyle w:val="Heading1"/>
        <w:ind w:hanging="0" w:start="0"/>
        <w:rPr>
          <w:color w:val="000080"/>
          <w:sz w:val="24"/>
        </w:rPr>
      </w:pPr>
      <w:r>
        <w:rPr>
          <w:color w:val="000080"/>
          <w:sz w:val="24"/>
        </w:rPr>
        <w:t xml:space="preserve">             </w:t>
      </w:r>
    </w:p>
    <w:p>
      <w:pPr>
        <w:pStyle w:val="Heading1"/>
        <w:ind w:hanging="0" w:start="0"/>
        <w:rPr>
          <w:color w:val="000080"/>
          <w:sz w:val="24"/>
          <w:u w:val="none"/>
        </w:rPr>
      </w:pPr>
      <w:r>
        <w:rPr>
          <w:color w:val="000080"/>
          <w:sz w:val="24"/>
        </w:rPr>
        <w:t>Vice-Chairman’s Column</w:t>
      </w:r>
    </w:p>
    <w:p>
      <w:pPr>
        <w:pStyle w:val="BodyText"/>
        <w:spacing w:lineRule="auto" w:line="240" w:before="0" w:after="0"/>
        <w:jc w:val="start"/>
        <w:rPr>
          <w:rFonts w:ascii="Times New Roman" w:hAnsi="Times New Roman" w:cs="Times New Roman"/>
          <w:b/>
          <w:color w:val="000080"/>
          <w:sz w:val="24"/>
        </w:rPr>
      </w:pPr>
      <w:r>
        <w:rPr>
          <w:rFonts w:cs="Times New Roman" w:ascii="Times New Roman" w:hAnsi="Times New Roman"/>
          <w:b/>
          <w:color w:val="000080"/>
          <w:sz w:val="24"/>
        </w:rPr>
        <w:t>New Information Provides a Glimpse at Governor’s Energy Plan Financing</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 xml:space="preserve">Last Monday (April 30), the Governor’s Office released some of the long-awaited details of its AB 1X financing program for the Department of Water Resources’ energy purchasing program.  With over $6 billion of General Fund cash already committed to energy purchases (as of April 27), Assembly Republicans had requested that the Administration release sufficient information to enable the Caucus to evaluate the financing program.  While incomplete, the information allows for a peek through the curtains.  </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While the administration has based its proposal on a fixed set of figures that it says require a bond issue of $12.5 billion, it has also acknowledged that the actual outcomes on a number of critical issues could be different than it has forecast.  If more money is needed to pay for power purchases, the administration has informed us that it must be provided by additional bond sales – the Governor will not support any rate increases beyond his current proposal (32 %).  This week’s column looks at the assumptions of the Governor’s Plan and their implications for the amount of bonds needed.</w:t>
      </w:r>
    </w:p>
    <w:p>
      <w:pPr>
        <w:pStyle w:val="BodyText"/>
        <w:spacing w:lineRule="auto" w:line="240" w:before="0" w:after="0"/>
        <w:jc w:val="start"/>
        <w:rPr>
          <w:rFonts w:ascii="Times New Roman" w:hAnsi="Times New Roman" w:cs="Times New Roman"/>
          <w:b/>
          <w:color w:val="000080"/>
          <w:sz w:val="22"/>
        </w:rPr>
      </w:pPr>
      <w:r>
        <w:rPr>
          <w:rFonts w:cs="Times New Roman" w:ascii="Times New Roman" w:hAnsi="Times New Roman"/>
          <w:b/>
          <w:color w:val="000080"/>
          <w:sz w:val="22"/>
        </w:rPr>
      </w:r>
    </w:p>
    <w:p>
      <w:pPr>
        <w:pStyle w:val="BodyText"/>
        <w:spacing w:lineRule="auto" w:line="240" w:before="0" w:after="0"/>
        <w:jc w:val="start"/>
        <w:rPr>
          <w:rFonts w:ascii="Times New Roman" w:hAnsi="Times New Roman" w:cs="Times New Roman"/>
          <w:b/>
          <w:color w:val="000080"/>
          <w:sz w:val="22"/>
        </w:rPr>
      </w:pPr>
      <w:r>
        <w:rPr>
          <w:rFonts w:cs="Times New Roman" w:ascii="Times New Roman" w:hAnsi="Times New Roman"/>
          <w:b/>
          <w:color w:val="000080"/>
          <w:sz w:val="22"/>
        </w:rPr>
        <w:t>Background</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On February 1, the Governor signed AB 1X.  That legislation establishes the energy purchase program, provides for the transmission of a share of ratepayer revenues to DWR from the Investor Owned Utilities (IOUs), and authorizes the issuance of revenue bonds to pay for DWR’s energy purchases.  The legislation also appropriated $500 million for DWR’s initial energy purchase costs, and authorized the Department of Finance to create deficiencies in this appropriation as necessitated by the costs of the program.  (Those authorizations have now reached $5.9 billion, plus another $350 million expended from other DWR General Fund appropriations.)  The Department is then required to repay the General Fund for the program’s costs from the first proceeds of the bond sale, in order to ensure that the General Fund is “held harmless.”</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With regard to the revenue bond financing portion of the program, the concept is that a bond sale of $12.5 billion provides sufficient cash to</w:t>
      </w:r>
    </w:p>
    <w:p>
      <w:pPr>
        <w:pStyle w:val="BodyText"/>
        <w:numPr>
          <w:ilvl w:val="0"/>
          <w:numId w:val="2"/>
        </w:numPr>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Repay the General Fund for the cash expended for energy purchases, with interest;</w:t>
      </w:r>
    </w:p>
    <w:p>
      <w:pPr>
        <w:pStyle w:val="BodyText"/>
        <w:numPr>
          <w:ilvl w:val="0"/>
          <w:numId w:val="2"/>
        </w:numPr>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Pay for all of the “going-forward” costs of purchasing the “net short” volume of electricity needed, net of ratepayer revenues, until energy prices decline sufficiently; and</w:t>
      </w:r>
    </w:p>
    <w:p>
      <w:pPr>
        <w:pStyle w:val="BodyText"/>
        <w:numPr>
          <w:ilvl w:val="0"/>
          <w:numId w:val="2"/>
        </w:numPr>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Pay for the debt service and financing costs of the revenue bond issue until the bonds are fully repaid.</w:t>
      </w:r>
    </w:p>
    <w:p>
      <w:pPr>
        <w:pStyle w:val="BodyText"/>
        <w:spacing w:lineRule="auto" w:line="240" w:before="0" w:after="0"/>
        <w:ind w:start="360" w:end="0"/>
        <w:jc w:val="start"/>
        <w:rPr>
          <w:rFonts w:ascii="Times New Roman" w:hAnsi="Times New Roman" w:cs="Times New Roman"/>
          <w:color w:val="000080"/>
          <w:sz w:val="22"/>
        </w:rPr>
      </w:pPr>
      <w:r>
        <w:rPr>
          <w:rFonts w:cs="Times New Roman" w:ascii="Times New Roman" w:hAnsi="Times New Roman"/>
          <w:color w:val="000080"/>
          <w:sz w:val="22"/>
        </w:rPr>
        <w:t>The principle premise of this concept is that the current exorbitant energy prices the state is paying can essentially be put on a credit card, and paid off later after energy prices decline.  As energy prices decline below the level of proposed rates in the future, extra cash will be generated that can be used to pay off the debt.</w:t>
      </w:r>
    </w:p>
    <w:p>
      <w:pPr>
        <w:pStyle w:val="BodyText"/>
        <w:spacing w:lineRule="auto" w:line="240" w:before="0" w:after="0"/>
        <w:jc w:val="start"/>
        <w:rPr>
          <w:rFonts w:ascii="Times New Roman" w:hAnsi="Times New Roman" w:cs="Times New Roman"/>
          <w:b/>
          <w:color w:val="000080"/>
          <w:sz w:val="22"/>
        </w:rPr>
      </w:pPr>
      <w:r>
        <w:rPr>
          <w:rFonts w:cs="Times New Roman" w:ascii="Times New Roman" w:hAnsi="Times New Roman"/>
          <w:b/>
          <w:color w:val="000080"/>
          <w:sz w:val="22"/>
        </w:rPr>
      </w:r>
    </w:p>
    <w:p>
      <w:pPr>
        <w:pStyle w:val="BodyText"/>
        <w:spacing w:lineRule="auto" w:line="240" w:before="0" w:after="0"/>
        <w:jc w:val="start"/>
        <w:rPr>
          <w:rFonts w:ascii="Times New Roman" w:hAnsi="Times New Roman" w:cs="Times New Roman"/>
          <w:b/>
          <w:color w:val="000080"/>
          <w:sz w:val="22"/>
        </w:rPr>
      </w:pPr>
      <w:r>
        <w:rPr>
          <w:rFonts w:cs="Times New Roman" w:ascii="Times New Roman" w:hAnsi="Times New Roman"/>
          <w:b/>
          <w:color w:val="000080"/>
          <w:sz w:val="22"/>
        </w:rPr>
        <w:t>Plan Description</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 xml:space="preserve">The Governor has hired an extensive team of engineering, legal and financial consultants to determine his approach to the financing problem and the document released last week was prepared by parts of that team.  The new information shows that the expected convergence of energy prices and the “current rate structure” is expected to be in November of 2002, and that a $12.5 billion bond issue is needed to cover costs until that time.  That finding is based upon a number of critical assumptions about energy prices, the effects of conservation and pricing on energy consumption, the availability of QF power, the availability of power from new power plants, and the resolution of legal uncertainties over the revenue bonds and the PG&amp;E bankruptcy.  </w:t>
      </w:r>
    </w:p>
    <w:p>
      <w:pPr>
        <w:pStyle w:val="BodyText"/>
        <w:spacing w:lineRule="auto" w:line="240" w:before="0" w:after="0"/>
        <w:jc w:val="start"/>
        <w:rPr>
          <w:rFonts w:ascii="Times New Roman" w:hAnsi="Times New Roman" w:cs="Times New Roman"/>
          <w:b/>
          <w:i/>
          <w:i/>
          <w:color w:val="000080"/>
          <w:sz w:val="22"/>
        </w:rPr>
      </w:pPr>
      <w:r>
        <w:rPr>
          <w:rFonts w:cs="Times New Roman" w:ascii="Times New Roman" w:hAnsi="Times New Roman"/>
          <w:b/>
          <w:i/>
          <w:color w:val="000080"/>
          <w:sz w:val="22"/>
        </w:rPr>
      </w:r>
    </w:p>
    <w:p>
      <w:pPr>
        <w:pStyle w:val="BodyText"/>
        <w:spacing w:lineRule="auto" w:line="240" w:before="0" w:after="0"/>
        <w:jc w:val="start"/>
        <w:rPr/>
      </w:pPr>
      <w:r>
        <w:rPr>
          <w:rFonts w:cs="Times New Roman" w:ascii="Times New Roman" w:hAnsi="Times New Roman"/>
          <w:i/>
          <w:color w:val="000080"/>
          <w:sz w:val="22"/>
        </w:rPr>
        <w:t>Energy Prices.</w:t>
      </w:r>
      <w:r>
        <w:rPr>
          <w:rFonts w:cs="Times New Roman" w:ascii="Times New Roman" w:hAnsi="Times New Roman"/>
          <w:color w:val="000080"/>
          <w:sz w:val="22"/>
        </w:rPr>
        <w:t xml:space="preserve">  The report forecasts a surprisingly repaid decline in expected “spot market” energy prices, from an average price of $346 per Mwh in the second quarter of 2001 to $195 this summer, and $120 next summer.  According to the consultants, these forecasted declines are largely attributable to the effects of conservation and long-term contracts.  Conservation is expected to reduce the amount of power needed at peak times, and the contracts provide a larger share of the peak power needed.  As a result, there is lower peak power purchase requirement, and off-peak power prices have a greater effect on the average than before. Whereas the state purchased 58 percent of its power as peak or super peak power in the second quarter, it will purchase 28 percent in the third quarter.  This has a tremendous impact on the total cost.  </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 xml:space="preserve">No information was provided as to average price assumptions for peak and other product categories by quarter over time, as this information is regarded as proprietary by the Governor’s Office.  Further, the embargo on details of the energy contracts makes it impossible to review the assumptions as to the impact of the contracts on the volume of spot market power required.  This lack of information makes it impossible to evaluate the reasonableness of the energy price assumptions, but we can evaluate the plan’s sensitivity to changes in prices.  Looking at the third quarter of 2001 again, if the average price paid is just 10 percent higher than the $195 forecast, and all other assumptions are held constant, the cost increases by roughly $250 million for that quarter alone.  Over the 2001-2003 period, that one small change in the price assumptions costs almost $1.1 billion.  </w:t>
      </w:r>
    </w:p>
    <w:p>
      <w:pPr>
        <w:pStyle w:val="BodyText"/>
        <w:spacing w:lineRule="auto" w:line="240" w:before="0" w:after="0"/>
        <w:jc w:val="start"/>
        <w:rPr>
          <w:rFonts w:ascii="Times New Roman" w:hAnsi="Times New Roman" w:cs="Times New Roman"/>
          <w:b/>
          <w:i/>
          <w:i/>
          <w:color w:val="000080"/>
          <w:sz w:val="22"/>
        </w:rPr>
      </w:pPr>
      <w:r>
        <w:rPr>
          <w:rFonts w:cs="Times New Roman" w:ascii="Times New Roman" w:hAnsi="Times New Roman"/>
          <w:b/>
          <w:i/>
          <w:color w:val="000080"/>
          <w:sz w:val="22"/>
        </w:rPr>
      </w:r>
    </w:p>
    <w:p>
      <w:pPr>
        <w:pStyle w:val="BodyText"/>
        <w:spacing w:lineRule="auto" w:line="240" w:before="0" w:after="0"/>
        <w:jc w:val="start"/>
        <w:rPr/>
      </w:pPr>
      <w:r>
        <w:rPr>
          <w:rFonts w:cs="Times New Roman" w:ascii="Times New Roman" w:hAnsi="Times New Roman"/>
          <w:i/>
          <w:color w:val="000080"/>
          <w:sz w:val="22"/>
        </w:rPr>
        <w:t xml:space="preserve">Conservation.  </w:t>
      </w:r>
      <w:r>
        <w:rPr>
          <w:rFonts w:cs="Times New Roman" w:ascii="Times New Roman" w:hAnsi="Times New Roman"/>
          <w:color w:val="000080"/>
          <w:sz w:val="22"/>
        </w:rPr>
        <w:t>Conservation assumptions include the effects of legislation recently enacted providing financial incentives for voluntary conservation, demand management and demand “buy-down” programs (such as the 20/20 program), as well as the reduced consumption expected to occur as a reaction of higher electricity prices.  In the aggregate, these assumptions reduce the “net short” purchase requirement by about one-third.  (The net short represents about a third of the total load.  Since the amount of conservation is determined by the total load, but its benefits are entirely absorbed by the net short, there is a larger proportionate impact on the net short.)  There are six separate assumptions, the largest of which include:</w:t>
      </w:r>
    </w:p>
    <w:p>
      <w:pPr>
        <w:pStyle w:val="BodyText"/>
        <w:numPr>
          <w:ilvl w:val="0"/>
          <w:numId w:val="3"/>
        </w:numPr>
        <w:tabs>
          <w:tab w:val="left" w:pos="720" w:leader="none"/>
        </w:tabs>
        <w:spacing w:lineRule="auto" w:line="240" w:before="0" w:after="0"/>
        <w:ind w:hanging="360" w:start="720" w:end="0"/>
        <w:jc w:val="start"/>
        <w:rPr>
          <w:rFonts w:ascii="Times New Roman" w:hAnsi="Times New Roman" w:cs="Times New Roman"/>
          <w:color w:val="000080"/>
          <w:sz w:val="22"/>
        </w:rPr>
      </w:pPr>
      <w:r>
        <w:rPr>
          <w:rFonts w:cs="Times New Roman" w:ascii="Times New Roman" w:hAnsi="Times New Roman"/>
          <w:b/>
          <w:color w:val="000080"/>
          <w:sz w:val="22"/>
        </w:rPr>
        <w:t>Trend.</w:t>
      </w:r>
      <w:r>
        <w:rPr>
          <w:rFonts w:cs="Times New Roman" w:ascii="Times New Roman" w:hAnsi="Times New Roman"/>
          <w:color w:val="000080"/>
          <w:sz w:val="22"/>
        </w:rPr>
        <w:t xml:space="preserve">  A 4 percent initial reduction, falling after 2002, based on assumed continued voluntary conservation efforts;</w:t>
      </w:r>
    </w:p>
    <w:p>
      <w:pPr>
        <w:pStyle w:val="BodyText"/>
        <w:numPr>
          <w:ilvl w:val="0"/>
          <w:numId w:val="3"/>
        </w:numPr>
        <w:tabs>
          <w:tab w:val="left" w:pos="720" w:leader="none"/>
        </w:tabs>
        <w:spacing w:lineRule="auto" w:line="240" w:before="0" w:after="0"/>
        <w:ind w:hanging="360" w:start="720" w:end="0"/>
        <w:jc w:val="start"/>
        <w:rPr>
          <w:rFonts w:ascii="Times New Roman" w:hAnsi="Times New Roman" w:cs="Times New Roman"/>
          <w:color w:val="000080"/>
          <w:sz w:val="22"/>
        </w:rPr>
      </w:pPr>
      <w:r>
        <w:rPr>
          <w:rFonts w:cs="Times New Roman" w:ascii="Times New Roman" w:hAnsi="Times New Roman"/>
          <w:b/>
          <w:color w:val="000080"/>
          <w:sz w:val="22"/>
        </w:rPr>
        <w:t>Price.</w:t>
      </w:r>
      <w:r>
        <w:rPr>
          <w:rFonts w:cs="Times New Roman" w:ascii="Times New Roman" w:hAnsi="Times New Roman"/>
          <w:color w:val="000080"/>
          <w:sz w:val="22"/>
        </w:rPr>
        <w:t xml:space="preserve">  A 3 percent initial reduction, falling after 2002, reflecting customers’ reactions to higher prices;</w:t>
      </w:r>
    </w:p>
    <w:p>
      <w:pPr>
        <w:pStyle w:val="BodyText"/>
        <w:numPr>
          <w:ilvl w:val="0"/>
          <w:numId w:val="3"/>
        </w:numPr>
        <w:tabs>
          <w:tab w:val="left" w:pos="720" w:leader="none"/>
        </w:tabs>
        <w:spacing w:lineRule="auto" w:line="240" w:before="0" w:after="0"/>
        <w:ind w:hanging="360" w:start="720" w:end="0"/>
        <w:jc w:val="start"/>
        <w:rPr>
          <w:rFonts w:ascii="Times New Roman" w:hAnsi="Times New Roman" w:cs="Times New Roman"/>
          <w:color w:val="000080"/>
          <w:sz w:val="22"/>
        </w:rPr>
      </w:pPr>
      <w:r>
        <w:rPr>
          <w:rFonts w:cs="Times New Roman" w:ascii="Times New Roman" w:hAnsi="Times New Roman"/>
          <w:b/>
          <w:color w:val="000080"/>
          <w:sz w:val="22"/>
        </w:rPr>
        <w:t>20/20 Buy-Down Program.</w:t>
      </w:r>
      <w:r>
        <w:rPr>
          <w:rFonts w:cs="Times New Roman" w:ascii="Times New Roman" w:hAnsi="Times New Roman"/>
          <w:color w:val="000080"/>
          <w:sz w:val="22"/>
        </w:rPr>
        <w:t xml:space="preserve">  A reduction of 2200 Peak Mwh, equivalent to about 2 percent, reflecting consumers additional conservation efforts to take advantage of the Governor’s rebate program; and</w:t>
      </w:r>
    </w:p>
    <w:p>
      <w:pPr>
        <w:pStyle w:val="BodyText"/>
        <w:numPr>
          <w:ilvl w:val="0"/>
          <w:numId w:val="3"/>
        </w:numPr>
        <w:tabs>
          <w:tab w:val="left" w:pos="720" w:leader="none"/>
        </w:tabs>
        <w:spacing w:lineRule="auto" w:line="240" w:before="0" w:after="0"/>
        <w:ind w:hanging="360" w:start="720" w:end="0"/>
        <w:jc w:val="start"/>
        <w:rPr>
          <w:rFonts w:ascii="Times New Roman" w:hAnsi="Times New Roman" w:cs="Times New Roman"/>
          <w:color w:val="000080"/>
          <w:sz w:val="22"/>
        </w:rPr>
      </w:pPr>
      <w:r>
        <w:rPr>
          <w:rFonts w:cs="Times New Roman" w:ascii="Times New Roman" w:hAnsi="Times New Roman"/>
          <w:b/>
          <w:color w:val="000080"/>
          <w:sz w:val="22"/>
        </w:rPr>
        <w:t>Discretionary Load Curtailment.</w:t>
      </w:r>
      <w:r>
        <w:rPr>
          <w:rFonts w:cs="Times New Roman" w:ascii="Times New Roman" w:hAnsi="Times New Roman"/>
          <w:color w:val="000080"/>
          <w:sz w:val="22"/>
        </w:rPr>
        <w:t xml:space="preserve">  A reduction of 1,620 Mwh from ISO payments for curtailed energy use.</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The Governor’s advisors insist that these assumptions are realistic, and in fact, conservative.  There are no standards by which the impacts of such a large conservation effort can be estimated, and expected weather conditions and other factors that aren’t predictable can have a large influence.  Moreover, because of the relationship noted above, a one- percent reduction in any of these assumptions has a three- percent impact on the volume of net short electricity that must be purchased.  For example, if just the trend factor is reduced by one percent, the net short increases by three percent, and the cost of buying the net short increases by over $1.5 billion over the 2001-2003 period.</w:t>
      </w:r>
    </w:p>
    <w:p>
      <w:pPr>
        <w:pStyle w:val="BodyText"/>
        <w:spacing w:lineRule="auto" w:line="240" w:before="0" w:after="0"/>
        <w:jc w:val="start"/>
        <w:rPr>
          <w:rFonts w:ascii="Times New Roman" w:hAnsi="Times New Roman" w:cs="Times New Roman"/>
          <w:i/>
          <w:i/>
          <w:color w:val="000080"/>
          <w:sz w:val="22"/>
        </w:rPr>
      </w:pPr>
      <w:r>
        <w:rPr>
          <w:rFonts w:cs="Times New Roman" w:ascii="Times New Roman" w:hAnsi="Times New Roman"/>
          <w:i/>
          <w:color w:val="000080"/>
          <w:sz w:val="22"/>
        </w:rPr>
      </w:r>
    </w:p>
    <w:p>
      <w:pPr>
        <w:pStyle w:val="BodyText"/>
        <w:spacing w:lineRule="auto" w:line="240" w:before="0" w:after="0"/>
        <w:jc w:val="start"/>
        <w:rPr/>
      </w:pPr>
      <w:r>
        <w:rPr>
          <w:rFonts w:cs="Times New Roman" w:ascii="Times New Roman" w:hAnsi="Times New Roman"/>
          <w:i/>
          <w:color w:val="000080"/>
          <w:sz w:val="22"/>
        </w:rPr>
        <w:t>QF Availability</w:t>
      </w:r>
      <w:r>
        <w:rPr>
          <w:rFonts w:cs="Times New Roman" w:ascii="Times New Roman" w:hAnsi="Times New Roman"/>
          <w:b/>
          <w:i/>
          <w:color w:val="000080"/>
          <w:sz w:val="22"/>
        </w:rPr>
        <w:t>.</w:t>
      </w:r>
      <w:r>
        <w:rPr>
          <w:rFonts w:cs="Times New Roman" w:ascii="Times New Roman" w:hAnsi="Times New Roman"/>
          <w:color w:val="000080"/>
          <w:sz w:val="22"/>
        </w:rPr>
        <w:t xml:space="preserve">  The Governor’s Plan assumes that the so-called “qualifying facilities,” or QFs, will resume production at near full capacity levels in the immediate future.  Specifically, the QFs will increase from March production levels of about 66 percent to 80 percent by May 1 and to 90 percent by June 1.  Our information indicates that SCE has achieved this goal, but PG&amp;E shows less progress.   QF production represents about a third of the power consumed in California, so again this is an important assumption, and continued success probably depends upon the resolution of back payment and other issues.  This assumption also is sensitive, as relaxing the assumption of 90% production to just 85% increases the state’s cost by $800 million over the same 2001-2003 period.</w:t>
      </w:r>
    </w:p>
    <w:p>
      <w:pPr>
        <w:pStyle w:val="BodyText"/>
        <w:spacing w:lineRule="auto" w:line="240" w:before="0" w:after="0"/>
        <w:jc w:val="start"/>
        <w:rPr>
          <w:rFonts w:ascii="Times New Roman" w:hAnsi="Times New Roman" w:cs="Times New Roman"/>
          <w:i/>
          <w:i/>
          <w:color w:val="000080"/>
          <w:sz w:val="22"/>
        </w:rPr>
      </w:pPr>
      <w:r>
        <w:rPr>
          <w:rFonts w:cs="Times New Roman" w:ascii="Times New Roman" w:hAnsi="Times New Roman"/>
          <w:i/>
          <w:color w:val="000080"/>
          <w:sz w:val="22"/>
        </w:rPr>
      </w:r>
    </w:p>
    <w:p>
      <w:pPr>
        <w:pStyle w:val="BodyText"/>
        <w:spacing w:lineRule="auto" w:line="240" w:before="0" w:after="0"/>
        <w:jc w:val="start"/>
        <w:rPr/>
      </w:pPr>
      <w:r>
        <w:rPr>
          <w:rFonts w:cs="Times New Roman" w:ascii="Times New Roman" w:hAnsi="Times New Roman"/>
          <w:i/>
          <w:color w:val="000080"/>
          <w:sz w:val="22"/>
        </w:rPr>
        <w:t>New Power Plants.</w:t>
      </w:r>
      <w:r>
        <w:rPr>
          <w:rFonts w:cs="Times New Roman" w:ascii="Times New Roman" w:hAnsi="Times New Roman"/>
          <w:color w:val="000080"/>
          <w:sz w:val="22"/>
        </w:rPr>
        <w:t xml:space="preserve">  The Governor has announced that he expects an additional 4,700 Mwh of electricity to come “on-line” this summer, as new power plants are approved and built on an expedited basis.  According to the Governor’s advisors, however, the financial plan assumes that 2,600 Mwh are actually available this summer.  That assumption is vulnerable to potential delays in approval and construction.  Power lost to such delays would be replaced by increased purchase of net short power at peak prices.</w:t>
      </w:r>
    </w:p>
    <w:p>
      <w:pPr>
        <w:pStyle w:val="BodyText"/>
        <w:spacing w:lineRule="auto" w:line="240" w:before="0" w:after="0"/>
        <w:jc w:val="start"/>
        <w:rPr>
          <w:rFonts w:ascii="Times New Roman" w:hAnsi="Times New Roman" w:cs="Times New Roman"/>
          <w:i/>
          <w:i/>
          <w:color w:val="000080"/>
          <w:sz w:val="22"/>
        </w:rPr>
      </w:pPr>
      <w:r>
        <w:rPr>
          <w:rFonts w:cs="Times New Roman" w:ascii="Times New Roman" w:hAnsi="Times New Roman"/>
          <w:i/>
          <w:color w:val="000080"/>
          <w:sz w:val="22"/>
        </w:rPr>
      </w:r>
    </w:p>
    <w:p>
      <w:pPr>
        <w:pStyle w:val="BodyText"/>
        <w:spacing w:lineRule="auto" w:line="240" w:before="0" w:after="0"/>
        <w:jc w:val="start"/>
        <w:rPr/>
      </w:pPr>
      <w:r>
        <w:rPr>
          <w:rFonts w:cs="Times New Roman" w:ascii="Times New Roman" w:hAnsi="Times New Roman"/>
          <w:i/>
          <w:color w:val="000080"/>
          <w:sz w:val="22"/>
        </w:rPr>
        <w:t>Legal Uncertainties.</w:t>
      </w:r>
      <w:r>
        <w:rPr>
          <w:rFonts w:cs="Times New Roman" w:ascii="Times New Roman" w:hAnsi="Times New Roman"/>
          <w:color w:val="000080"/>
          <w:sz w:val="22"/>
        </w:rPr>
        <w:t xml:space="preserve">  The plan essentially assumes the avoidance of adverse legal developments and their impact on the timing of events, such as the imposition of rate increases and the issuance of revenue bonds.  The rate increases recently adopted by the PUC have yet to be officially imposed, as the Governor’s Plan asserts that a lower rate increase is needed.  The issuance of revenue bonds remains in limbo due to legal challenges to PUC action, and concerns expressed by the financial community.  The PG&amp;E Bankruptcy adds the potential for additional legal surprises that have made investors wary of the bonds.  The timing factors primarily affect the availability of internal cash resources needed to continue the energy purchase program if the revenue bonds are delayed.  Cash shortfalls could occur as early as this fall, potentially resulting in blackouts.</w:t>
      </w:r>
    </w:p>
    <w:p>
      <w:pPr>
        <w:pStyle w:val="BodyText"/>
        <w:spacing w:lineRule="auto" w:line="240" w:before="0" w:after="0"/>
        <w:jc w:val="start"/>
        <w:rPr>
          <w:rFonts w:ascii="Times New Roman" w:hAnsi="Times New Roman" w:cs="Times New Roman"/>
          <w:b/>
          <w:color w:val="000080"/>
          <w:sz w:val="22"/>
        </w:rPr>
      </w:pPr>
      <w:r>
        <w:rPr>
          <w:rFonts w:cs="Times New Roman" w:ascii="Times New Roman" w:hAnsi="Times New Roman"/>
          <w:b/>
          <w:color w:val="000080"/>
          <w:sz w:val="22"/>
        </w:rPr>
      </w:r>
    </w:p>
    <w:p>
      <w:pPr>
        <w:pStyle w:val="BodyText"/>
        <w:spacing w:lineRule="auto" w:line="240" w:before="0" w:after="0"/>
        <w:jc w:val="start"/>
        <w:rPr>
          <w:rFonts w:ascii="Times New Roman" w:hAnsi="Times New Roman" w:cs="Times New Roman"/>
          <w:b/>
          <w:color w:val="000080"/>
          <w:sz w:val="22"/>
        </w:rPr>
      </w:pPr>
      <w:r>
        <w:rPr>
          <w:rFonts w:cs="Times New Roman" w:ascii="Times New Roman" w:hAnsi="Times New Roman"/>
          <w:b/>
          <w:color w:val="000080"/>
          <w:sz w:val="22"/>
        </w:rPr>
        <w:t xml:space="preserve">Conclusions </w:t>
      </w:r>
    </w:p>
    <w:p>
      <w:pPr>
        <w:pStyle w:val="BodyText"/>
        <w:spacing w:lineRule="auto" w:line="240" w:before="0" w:after="0"/>
        <w:jc w:val="start"/>
        <w:rPr>
          <w:rFonts w:ascii="Times New Roman" w:hAnsi="Times New Roman" w:cs="Times New Roman"/>
          <w:color w:val="000080"/>
          <w:sz w:val="22"/>
        </w:rPr>
      </w:pPr>
      <w:r>
        <w:rPr>
          <w:rFonts w:cs="Times New Roman" w:ascii="Times New Roman" w:hAnsi="Times New Roman"/>
          <w:color w:val="000080"/>
          <w:sz w:val="22"/>
        </w:rPr>
        <w:t xml:space="preserve">As the above examples demonstrate, small changes in the assumptions can have a large impact on the cost of buying the net short.  These examples don’t represent any significant change in the Governor’s assumptions, or provide any notion of what could happen if things go seriously wrong.  However, it is important to understand that the estimates of cost and bond requirements will be updated over time as events unfold, and those updates could easily require billions of dollars of additional bonds to be sold. </w:t>
      </w:r>
    </w:p>
    <w:p>
      <w:pPr>
        <w:pStyle w:val="Normal"/>
        <w:rPr>
          <w:rFonts w:ascii="Times New Roman" w:hAnsi="Times New Roman" w:cs="Times New Roman"/>
          <w:color w:val="000080"/>
          <w:sz w:val="22"/>
        </w:rPr>
      </w:pPr>
      <w:r>
        <w:rPr>
          <w:rFonts w:cs="Times New Roman" w:ascii="Times New Roman" w:hAnsi="Times New Roman"/>
          <w:color w:val="000080"/>
          <w:sz w:val="22"/>
        </w:rPr>
      </w:r>
    </w:p>
    <w:p>
      <w:pPr>
        <w:pStyle w:val="Normal"/>
        <w:rPr>
          <w:color w:val="000080"/>
        </w:rPr>
      </w:pPr>
      <w:r>
        <w:rPr>
          <w:color w:val="000080"/>
        </w:rPr>
      </w:r>
    </w:p>
    <w:p>
      <w:pPr>
        <w:pStyle w:val="Normal"/>
        <w:rPr>
          <w:color w:val="000080"/>
        </w:rPr>
      </w:pPr>
      <w:r>
        <w:rPr>
          <w:color w:val="000080"/>
        </w:rPr>
      </w:r>
    </w:p>
    <w:p>
      <w:pPr>
        <w:pStyle w:val="Header"/>
        <w:widowControl/>
        <w:tabs>
          <w:tab w:val="clear" w:pos="4320"/>
          <w:tab w:val="clear" w:pos="8640"/>
        </w:tabs>
        <w:rPr>
          <w:rFonts w:ascii="Comic Sans MS" w:hAnsi="Comic Sans MS" w:cs="Comic Sans MS"/>
          <w:color w:val="000080"/>
        </w:rPr>
      </w:pPr>
      <w:r>
        <w:rPr>
          <w:rFonts w:cs="Comic Sans MS" w:ascii="Comic Sans MS" w:hAnsi="Comic Sans MS"/>
          <w:color w:val="000080"/>
        </w:rPr>
      </w:r>
    </w:p>
    <w:p>
      <w:pPr>
        <w:pStyle w:val="Normal"/>
        <w:rPr>
          <w:rFonts w:ascii="Comic Sans MS" w:hAnsi="Comic Sans MS" w:cs="Comic Sans MS"/>
          <w:color w:val="000080"/>
        </w:rPr>
      </w:pPr>
      <w:r>
        <w:rPr>
          <w:rFonts w:cs="Comic Sans MS"/>
          <w:color w:val="000080"/>
        </w:rPr>
      </w:r>
    </w:p>
    <w:p>
      <w:pPr>
        <w:pStyle w:val="Normal"/>
        <w:rPr>
          <w:color w:val="000080"/>
        </w:rPr>
      </w:pPr>
      <w:r>
        <w:rPr>
          <w:color w:val="000080"/>
        </w:rPr>
      </w:r>
    </w:p>
    <w:tbl>
      <w:tblPr>
        <w:tblW w:w="10701" w:type="dxa"/>
        <w:jc w:val="start"/>
        <w:tblInd w:w="18" w:type="dxa"/>
        <w:tblLayout w:type="fixed"/>
        <w:tblCellMar>
          <w:top w:w="0" w:type="dxa"/>
          <w:start w:w="108" w:type="dxa"/>
          <w:bottom w:w="0" w:type="dxa"/>
          <w:end w:w="108" w:type="dxa"/>
        </w:tblCellMar>
      </w:tblPr>
      <w:tblGrid>
        <w:gridCol w:w="10701"/>
      </w:tblGrid>
      <w:tr>
        <w:trPr>
          <w:trHeight w:val="3240" w:hRule="atLeast"/>
        </w:trPr>
        <w:tc>
          <w:tcPr>
            <w:tcW w:w="10701" w:type="dxa"/>
            <w:tcBorders>
              <w:top w:val="thinThickSmallGap" w:sz="24" w:space="0" w:color="000080"/>
              <w:start w:val="thinThickSmallGap" w:sz="24" w:space="0" w:color="000080"/>
              <w:bottom w:val="thickThinSmallGap" w:sz="24" w:space="0" w:color="000080"/>
              <w:end w:val="thickThinSmallGap" w:sz="24" w:space="0" w:color="000080"/>
            </w:tcBorders>
          </w:tcPr>
          <w:p>
            <w:pPr>
              <w:pStyle w:val="Normal"/>
              <w:rPr/>
            </w:pPr>
            <w:r>
              <w:drawing>
                <wp:anchor behindDoc="0" distT="0" distB="0" distL="114935" distR="114935" simplePos="0" locked="0" layoutInCell="0" allowOverlap="1" relativeHeight="4">
                  <wp:simplePos x="0" y="0"/>
                  <wp:positionH relativeFrom="margin">
                    <wp:posOffset>3017520</wp:posOffset>
                  </wp:positionH>
                  <wp:positionV relativeFrom="paragraph">
                    <wp:posOffset>1371600</wp:posOffset>
                  </wp:positionV>
                  <wp:extent cx="788670" cy="1027430"/>
                  <wp:effectExtent l="0" t="0" r="0" b="0"/>
                  <wp:wrapNone/>
                  <wp:docPr id="5" name="asmse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mseal" descr="" title=""/>
                          <pic:cNvPicPr>
                            <a:picLocks noChangeAspect="1" noChangeArrowheads="1"/>
                          </pic:cNvPicPr>
                        </pic:nvPicPr>
                        <pic:blipFill>
                          <a:blip r:embed="rId3"/>
                          <a:srcRect l="-30" t="-23" r="-30" b="-23"/>
                          <a:stretch>
                            <a:fillRect/>
                          </a:stretch>
                        </pic:blipFill>
                        <pic:spPr bwMode="auto">
                          <a:xfrm>
                            <a:off x="0" y="0"/>
                            <a:ext cx="788670" cy="1027430"/>
                          </a:xfrm>
                          <a:prstGeom prst="rect">
                            <a:avLst/>
                          </a:prstGeom>
                          <a:noFill/>
                        </pic:spPr>
                      </pic:pic>
                    </a:graphicData>
                  </a:graphic>
                </wp:anchor>
              </w:drawing>
            </w:r>
            <w:r>
              <w:rPr>
                <w:rFonts w:cs="Times New Roman" w:ascii="Times New Roman" w:hAnsi="Times New Roman"/>
                <w:b/>
                <w:color w:val="000080"/>
                <w:sz w:val="22"/>
                <w:u w:val="single"/>
              </w:rPr>
              <w:t>Subcommittee #1  Health &amp; Human Services</w:t>
            </w:r>
            <w:r>
              <w:rPr>
                <w:rFonts w:cs="Times New Roman" w:ascii="Times New Roman" w:hAnsi="Times New Roman"/>
                <w:color w:val="000080"/>
                <w:sz w:val="22"/>
              </w:rPr>
              <w:tab/>
              <w:tab/>
              <w:tab/>
              <w:tab/>
              <w:t xml:space="preserve">    </w:t>
            </w:r>
            <w:r>
              <w:rPr>
                <w:rFonts w:cs="Times New Roman" w:ascii="Times New Roman" w:hAnsi="Times New Roman"/>
                <w:b/>
                <w:color w:val="000080"/>
                <w:sz w:val="22"/>
                <w:u w:val="single"/>
              </w:rPr>
              <w:t>Subcommittee #2 Education</w:t>
            </w:r>
            <w:r>
              <w:rPr>
                <w:rFonts w:cs="Times New Roman" w:ascii="Times New Roman" w:hAnsi="Times New Roman"/>
                <w:b/>
                <w:color w:val="000080"/>
                <w:sz w:val="22"/>
              </w:rPr>
              <w:t xml:space="preserve"> </w:t>
            </w:r>
          </w:p>
          <w:p>
            <w:pPr>
              <w:pStyle w:val="Heading5"/>
              <w:ind w:hanging="0" w:start="0"/>
              <w:rPr>
                <w:color w:val="800000"/>
                <w:sz w:val="22"/>
              </w:rPr>
            </w:pPr>
            <w:r>
              <w:rPr>
                <w:color w:val="800000"/>
                <w:sz w:val="22"/>
              </w:rPr>
              <w:t xml:space="preserve">Aanestad, Richman                                                                                        Daucher, Leonard </w:t>
            </w:r>
          </w:p>
          <w:p>
            <w:pPr>
              <w:pStyle w:val="Normal"/>
              <w:rPr>
                <w:rFonts w:ascii="Times New Roman" w:hAnsi="Times New Roman" w:cs="Times New Roman"/>
                <w:i/>
                <w:i/>
                <w:color w:val="008080"/>
                <w:sz w:val="22"/>
              </w:rPr>
            </w:pPr>
            <w:r>
              <w:rPr>
                <w:rFonts w:cs="Times New Roman" w:ascii="Times New Roman" w:hAnsi="Times New Roman"/>
                <w:i/>
                <w:color w:val="008080"/>
                <w:sz w:val="22"/>
              </w:rPr>
              <w:t>Seren Taylor, Consultant                                                                                  Sara Swan, Consultant</w:t>
            </w:r>
          </w:p>
          <w:p>
            <w:pPr>
              <w:pStyle w:val="Normal"/>
              <w:rPr>
                <w:rFonts w:ascii="Times New Roman" w:hAnsi="Times New Roman" w:cs="Times New Roman"/>
                <w:i/>
                <w:i/>
                <w:color w:val="000080"/>
                <w:sz w:val="22"/>
              </w:rPr>
            </w:pPr>
            <w:r>
              <w:rPr>
                <w:rFonts w:cs="Times New Roman" w:ascii="Times New Roman" w:hAnsi="Times New Roman"/>
                <w:i/>
                <w:color w:val="008080"/>
                <w:sz w:val="22"/>
              </w:rPr>
              <w:t>Gregson Porteous, Consultant</w:t>
            </w:r>
            <w:r>
              <w:rPr>
                <w:rFonts w:cs="Times New Roman" w:ascii="Times New Roman" w:hAnsi="Times New Roman"/>
                <w:color w:val="000080"/>
                <w:sz w:val="22"/>
              </w:rPr>
              <w:tab/>
              <w:tab/>
              <w:tab/>
              <w:tab/>
              <w:t xml:space="preserve">  </w:t>
              <w:tab/>
              <w:tab/>
              <w:t xml:space="preserve">    </w:t>
            </w:r>
          </w:p>
          <w:p>
            <w:pPr>
              <w:pStyle w:val="Heading8"/>
              <w:ind w:hanging="0" w:start="0"/>
              <w:rPr>
                <w:b w:val="false"/>
                <w:color w:val="008080"/>
                <w:sz w:val="22"/>
              </w:rPr>
            </w:pPr>
            <w:r>
              <w:rPr>
                <w:color w:val="008080"/>
                <w:sz w:val="22"/>
              </w:rPr>
              <w:t>Peter W. Schaafsma, Staff Director</w:t>
            </w:r>
          </w:p>
          <w:p>
            <w:pPr>
              <w:pStyle w:val="Normal"/>
              <w:rPr>
                <w:rFonts w:ascii="Times New Roman" w:hAnsi="Times New Roman" w:cs="Times New Roman"/>
                <w:color w:val="000080"/>
                <w:sz w:val="22"/>
                <w:u w:val="single"/>
              </w:rPr>
            </w:pPr>
            <w:r>
              <w:rPr>
                <w:rFonts w:cs="Times New Roman" w:ascii="Times New Roman" w:hAnsi="Times New Roman"/>
                <w:b/>
                <w:color w:val="000080"/>
                <w:sz w:val="22"/>
                <w:u w:val="single"/>
              </w:rPr>
              <w:t>Subcommittee #3 Resources</w:t>
            </w:r>
            <w:r>
              <w:rPr>
                <w:rFonts w:cs="Times New Roman" w:ascii="Times New Roman" w:hAnsi="Times New Roman"/>
                <w:color w:val="000080"/>
                <w:sz w:val="22"/>
                <w:u w:val="single"/>
              </w:rPr>
              <w:t xml:space="preserve"> </w:t>
            </w:r>
            <w:r>
              <w:rPr>
                <w:rFonts w:cs="Times New Roman" w:ascii="Times New Roman" w:hAnsi="Times New Roman"/>
                <w:color w:val="000080"/>
                <w:sz w:val="22"/>
              </w:rPr>
              <w:t xml:space="preserve">                                   </w:t>
            </w:r>
            <w:r>
              <w:rPr>
                <w:rFonts w:cs="Times New Roman" w:ascii="Times New Roman" w:hAnsi="Times New Roman"/>
                <w:b/>
                <w:color w:val="000080"/>
                <w:sz w:val="22"/>
              </w:rPr>
              <w:t>(916) 319-2637</w:t>
            </w:r>
          </w:p>
          <w:p>
            <w:pPr>
              <w:pStyle w:val="Normal"/>
              <w:rPr/>
            </w:pPr>
            <w:r>
              <w:rPr>
                <w:rFonts w:cs="Times New Roman" w:ascii="Times New Roman" w:hAnsi="Times New Roman"/>
                <w:b/>
                <w:color w:val="800000"/>
                <w:sz w:val="22"/>
              </w:rPr>
              <w:t>Dickerson, Wyland</w:t>
            </w:r>
            <w:r>
              <w:rPr>
                <w:rFonts w:cs="Times New Roman" w:ascii="Times New Roman" w:hAnsi="Times New Roman"/>
                <w:i/>
                <w:color w:val="000080"/>
                <w:sz w:val="22"/>
              </w:rPr>
              <w:t xml:space="preserve">                                                  </w:t>
            </w:r>
            <w:r>
              <w:rPr>
                <w:rFonts w:cs="Times New Roman" w:ascii="Times New Roman" w:hAnsi="Times New Roman"/>
                <w:i/>
                <w:color w:val="800000"/>
                <w:sz w:val="22"/>
              </w:rPr>
              <w:t>Yolanda Rosales</w:t>
            </w:r>
            <w:r>
              <w:rPr>
                <w:rFonts w:cs="Times New Roman" w:ascii="Times New Roman" w:hAnsi="Times New Roman"/>
                <w:i/>
                <w:color w:val="000080"/>
                <w:sz w:val="22"/>
              </w:rPr>
              <w:t xml:space="preserve">              </w:t>
            </w:r>
            <w:r>
              <w:rPr>
                <w:rFonts w:cs="Times New Roman" w:ascii="Times New Roman" w:hAnsi="Times New Roman"/>
                <w:b/>
                <w:color w:val="000080"/>
                <w:sz w:val="22"/>
                <w:u w:val="single"/>
              </w:rPr>
              <w:t>Subcommittee #4 State Administration</w:t>
            </w:r>
          </w:p>
          <w:p>
            <w:pPr>
              <w:pStyle w:val="Normal"/>
              <w:rPr>
                <w:rFonts w:ascii="Times New Roman" w:hAnsi="Times New Roman" w:cs="Times New Roman"/>
                <w:b/>
                <w:color w:val="000080"/>
                <w:sz w:val="22"/>
              </w:rPr>
            </w:pPr>
            <w:r>
              <w:rPr>
                <w:rFonts w:cs="Times New Roman" w:ascii="Times New Roman" w:hAnsi="Times New Roman"/>
                <w:i/>
                <w:color w:val="008080"/>
                <w:sz w:val="22"/>
              </w:rPr>
              <w:t>Catherine Kennard, Consultant</w:t>
            </w:r>
            <w:r>
              <w:rPr>
                <w:rFonts w:cs="Times New Roman" w:ascii="Times New Roman" w:hAnsi="Times New Roman"/>
                <w:i/>
                <w:color w:val="000080"/>
                <w:sz w:val="22"/>
              </w:rPr>
              <w:t xml:space="preserve">                                </w:t>
            </w:r>
            <w:r>
              <w:rPr>
                <w:rFonts w:cs="Times New Roman" w:ascii="Times New Roman" w:hAnsi="Times New Roman"/>
                <w:i/>
                <w:color w:val="800000"/>
                <w:sz w:val="22"/>
              </w:rPr>
              <w:t xml:space="preserve">Laura Brazelton              </w:t>
            </w:r>
            <w:r>
              <w:rPr>
                <w:rFonts w:cs="Times New Roman" w:ascii="Times New Roman" w:hAnsi="Times New Roman"/>
                <w:b/>
                <w:color w:val="800000"/>
                <w:sz w:val="22"/>
              </w:rPr>
              <w:t xml:space="preserve"> John Campbell, Rod Pacheco</w:t>
            </w:r>
          </w:p>
          <w:p>
            <w:pPr>
              <w:pStyle w:val="Normal"/>
              <w:rPr/>
            </w:pPr>
            <w:r>
              <w:rPr>
                <w:rFonts w:cs="Times New Roman" w:ascii="Times New Roman" w:hAnsi="Times New Roman"/>
                <w:i/>
                <w:color w:val="000080"/>
                <w:sz w:val="22"/>
              </w:rPr>
              <w:t xml:space="preserve">                                                                              </w:t>
            </w:r>
            <w:r>
              <w:rPr>
                <w:rFonts w:cs="Times New Roman" w:ascii="Times New Roman" w:hAnsi="Times New Roman"/>
                <w:i/>
                <w:color w:val="008080"/>
                <w:sz w:val="22"/>
              </w:rPr>
              <w:t>Committee Assistants           Paul Deiro, Consultant</w:t>
            </w:r>
          </w:p>
          <w:p>
            <w:pPr>
              <w:pStyle w:val="Normal"/>
              <w:rPr>
                <w:rFonts w:ascii="Times New Roman" w:hAnsi="Times New Roman" w:cs="Times New Roman"/>
                <w:color w:val="000080"/>
                <w:sz w:val="22"/>
              </w:rPr>
            </w:pPr>
            <w:r>
              <w:rPr>
                <w:rFonts w:cs="Times New Roman" w:ascii="Times New Roman" w:hAnsi="Times New Roman"/>
                <w:b/>
                <w:color w:val="000080"/>
                <w:sz w:val="22"/>
                <w:u w:val="single"/>
              </w:rPr>
              <w:t>Subcommittee #5 Transportation &amp; Information</w:t>
            </w:r>
            <w:r>
              <w:rPr>
                <w:rFonts w:cs="Times New Roman" w:ascii="Times New Roman" w:hAnsi="Times New Roman"/>
                <w:color w:val="000080"/>
                <w:sz w:val="22"/>
              </w:rPr>
              <w:tab/>
              <w:t xml:space="preserve">                                </w:t>
            </w:r>
            <w:r>
              <w:rPr>
                <w:rFonts w:cs="Times New Roman" w:ascii="Times New Roman" w:hAnsi="Times New Roman"/>
                <w:i/>
                <w:color w:val="008080"/>
                <w:sz w:val="22"/>
              </w:rPr>
              <w:t>Eric Csizmar, Consultant</w:t>
            </w:r>
          </w:p>
          <w:p>
            <w:pPr>
              <w:pStyle w:val="Heading9"/>
              <w:ind w:hanging="0" w:start="0"/>
              <w:rPr>
                <w:color w:val="000080"/>
                <w:sz w:val="22"/>
              </w:rPr>
            </w:pPr>
            <w:r>
              <w:rPr>
                <w:b/>
                <w:i w:val="false"/>
                <w:color w:val="000080"/>
                <w:sz w:val="22"/>
              </w:rPr>
              <w:t xml:space="preserve">                          </w:t>
            </w:r>
            <w:r>
              <w:rPr>
                <w:b/>
                <w:i w:val="false"/>
                <w:color w:val="000080"/>
                <w:sz w:val="22"/>
                <w:u w:val="single"/>
              </w:rPr>
              <w:t>Technology</w:t>
            </w:r>
            <w:r>
              <w:rPr>
                <w:b/>
                <w:i w:val="false"/>
                <w:color w:val="000080"/>
                <w:sz w:val="22"/>
              </w:rPr>
              <w:t xml:space="preserve">                                                                                         </w:t>
            </w:r>
          </w:p>
          <w:p>
            <w:pPr>
              <w:pStyle w:val="Heading9"/>
              <w:ind w:hanging="0" w:start="0"/>
              <w:rPr>
                <w:color w:val="800000"/>
                <w:sz w:val="22"/>
              </w:rPr>
            </w:pPr>
            <w:r>
              <w:rPr>
                <w:b/>
                <w:i w:val="false"/>
                <w:color w:val="800000"/>
                <w:sz w:val="22"/>
              </w:rPr>
              <w:t>Kelley, Maldonado</w:t>
            </w:r>
          </w:p>
          <w:p>
            <w:pPr>
              <w:pStyle w:val="Normal"/>
              <w:rPr/>
            </w:pPr>
            <w:r>
              <w:rPr>
                <w:rFonts w:cs="Times New Roman" w:ascii="Times New Roman" w:hAnsi="Times New Roman"/>
                <w:i/>
                <w:color w:val="008080"/>
                <w:sz w:val="22"/>
              </w:rPr>
              <w:t>Catherine Kennard</w:t>
            </w:r>
            <w:r>
              <w:rPr>
                <w:rFonts w:cs="Times New Roman" w:ascii="Times New Roman" w:hAnsi="Times New Roman"/>
                <w:b/>
                <w:color w:val="008080"/>
                <w:sz w:val="22"/>
              </w:rPr>
              <w:t>,</w:t>
            </w:r>
            <w:r>
              <w:rPr>
                <w:rFonts w:cs="Times New Roman" w:ascii="Times New Roman" w:hAnsi="Times New Roman"/>
                <w:i/>
                <w:color w:val="008080"/>
                <w:sz w:val="22"/>
              </w:rPr>
              <w:t xml:space="preserve"> Consultant</w:t>
            </w:r>
          </w:p>
          <w:p>
            <w:pPr>
              <w:pStyle w:val="Heading6"/>
              <w:ind w:hanging="0" w:start="0"/>
              <w:rPr/>
            </w:pPr>
            <w:r>
              <w:rPr>
                <w:b w:val="false"/>
                <w:color w:val="008080"/>
              </w:rPr>
              <w:t>Eric Csizmar, Consultant</w:t>
            </w:r>
            <w:r>
              <w:rPr>
                <w:b w:val="false"/>
                <w:color w:val="000080"/>
              </w:rPr>
              <w:t xml:space="preserve">             </w:t>
            </w:r>
          </w:p>
        </w:tc>
      </w:tr>
    </w:tbl>
    <w:p>
      <w:pPr>
        <w:pStyle w:val="Normal"/>
        <w:rPr>
          <w:rFonts w:ascii="Times New Roman" w:hAnsi="Times New Roman" w:cs="Times New Roman"/>
          <w:color w:val="000080"/>
        </w:rPr>
      </w:pPr>
      <w:r>
        <w:rPr>
          <w:rFonts w:cs="Times New Roman" w:ascii="Times New Roman" w:hAnsi="Times New Roman"/>
          <w:color w:val="000080"/>
        </w:rPr>
      </w:r>
    </w:p>
    <w:sectPr>
      <w:headerReference w:type="default" r:id="rId4"/>
      <w:headerReference w:type="first" r:id="rId5"/>
      <w:type w:val="nextPage"/>
      <w:pgSz w:w="12240" w:h="20160"/>
      <w:pgMar w:left="1008" w:right="864" w:gutter="0" w:header="0" w:top="720" w:footer="0"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Wingdings">
    <w:charset w:val="02"/>
    <w:family w:val="auto"/>
    <w:pitch w:val="variable"/>
  </w:font>
  <w:font w:name="Tahoma">
    <w:charset w:val="00" w:characterSet="windows-1252"/>
    <w:family w:val="swiss"/>
    <w:pitch w:val="variable"/>
  </w:font>
  <w:font w:name="Georg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6"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12.3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80"/>
      </w:rPr>
    </w:lvl>
  </w:abstractNum>
  <w:abstractNum w:abstractNumId="3">
    <w:lvl w:ilvl="0">
      <w:start w:val="1"/>
      <w:numFmt w:val="bullet"/>
      <w:lvlText w:val=""/>
      <w:lvlJc w:val="start"/>
      <w:pPr>
        <w:tabs>
          <w:tab w:val="num" w:pos="360"/>
        </w:tabs>
        <w:ind w:start="360" w:hanging="360"/>
      </w:pPr>
      <w:rPr>
        <w:rFonts w:ascii="Symbol" w:hAnsi="Symbol" w:cs="Symbol" w:hint="default"/>
        <w:color w:val="00008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mic Sans MS" w:hAnsi="Comic Sans MS" w:eastAsia="Times New Roman" w:cs="Comic Sans M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mallCaps/>
      <w:sz w:val="28"/>
      <w:u w:val="single"/>
    </w:rPr>
  </w:style>
  <w:style w:type="paragraph" w:styleId="Heading2">
    <w:name w:val="heading 2"/>
    <w:basedOn w:val="Normal"/>
    <w:next w:val="Normal"/>
    <w:qFormat/>
    <w:pPr>
      <w:keepNext w:val="true"/>
      <w:numPr>
        <w:ilvl w:val="1"/>
        <w:numId w:val="1"/>
      </w:numPr>
      <w:spacing w:lineRule="auto" w:line="216"/>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smallCaps/>
      <w:u w:val="single"/>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i/>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0"/>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i/>
      <w:sz w:val="22"/>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mallCaps/>
      <w:u w:val="single"/>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sz w:val="32"/>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000080"/>
    </w:rPr>
  </w:style>
  <w:style w:type="character" w:styleId="WW8Num5z0">
    <w:name w:val="WW8Num5z0"/>
    <w:qFormat/>
    <w:rPr>
      <w:rFonts w:ascii="Symbol" w:hAnsi="Symbol" w:cs="Symbol"/>
      <w:color w:val="000080"/>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Arial" w:hAnsi="Arial" w:cs="Arial"/>
      <w:b/>
      <w:sz w:val="40"/>
    </w:rPr>
  </w:style>
  <w:style w:type="paragraph" w:styleId="BodyText">
    <w:name w:val="Body Text"/>
    <w:basedOn w:val="Normal"/>
    <w:pPr>
      <w:spacing w:lineRule="atLeast" w:line="180" w:before="0" w:after="220"/>
      <w:jc w:val="both"/>
    </w:pPr>
    <w:rPr>
      <w:rFonts w:ascii="Arial" w:hAnsi="Arial" w:cs="Arial"/>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rPr>
  </w:style>
  <w:style w:type="paragraph" w:styleId="BodyTextIndent">
    <w:name w:val="Body Text Indent"/>
    <w:basedOn w:val="Normal"/>
    <w:pPr>
      <w:ind w:firstLine="720" w:start="0" w:end="0"/>
    </w:pPr>
    <w:rPr>
      <w:rFonts w:ascii="Times New Roman" w:hAnsi="Times New Roman" w:cs="Times New Roman"/>
      <w:lang w:eastAsia="en-US"/>
    </w:rPr>
  </w:style>
  <w:style w:type="paragraph" w:styleId="BodyText2">
    <w:name w:val="Body Text 2"/>
    <w:basedOn w:val="Normal"/>
    <w:qFormat/>
    <w:pPr/>
    <w:rPr>
      <w:rFonts w:ascii="Times New Roman" w:hAnsi="Times New Roman" w:cs="Times New Roman"/>
      <w:b/>
      <w:smallCaps/>
      <w:u w:val="single"/>
    </w:rPr>
  </w:style>
  <w:style w:type="paragraph" w:styleId="BodyTextIndent2">
    <w:name w:val="Body Text Indent 2"/>
    <w:basedOn w:val="Normal"/>
    <w:qFormat/>
    <w:pPr>
      <w:ind w:firstLine="720" w:start="0" w:end="0"/>
    </w:pPr>
    <w:rPr>
      <w:rFonts w:ascii="Times New Roman" w:hAnsi="Times New Roman" w:cs="Times New Roman"/>
      <w:sz w:val="22"/>
    </w:rPr>
  </w:style>
  <w:style w:type="paragraph" w:styleId="BodyText3">
    <w:name w:val="Body Text 3"/>
    <w:basedOn w:val="Normal"/>
    <w:qFormat/>
    <w:pPr/>
    <w:rPr>
      <w:rFonts w:ascii="Times New Roman" w:hAnsi="Times New Roman" w:cs="Times New Roman"/>
      <w:sz w:val="22"/>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2001-05-08T19:52:00Z</dcterms:created>
  <dc:creator>Rebecca A. Fontaine</dc:creator>
  <dc:description/>
  <dc:language>en-CA</dc:language>
  <cp:lastModifiedBy>Richard S. Costigan</cp:lastModifiedBy>
  <cp:lastPrinted>2001-05-07T17:05:00Z</cp:lastPrinted>
  <dcterms:modified xsi:type="dcterms:W3CDTF">2001-05-08T19:52:00Z</dcterms:modified>
  <cp:revision>2</cp:revision>
  <dc:subject/>
  <dc:title>Capitol Budget Brief</dc:title>
</cp:coreProperties>
</file>