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William Bradley Dusek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38 Pembridge Rd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London, England W11 3HN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+44 (0) 20 7731 2378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lockText"/>
        <w:pBdr>
          <w:bottom w:val="single" w:sz="4" w:space="1" w:color="000000"/>
        </w:pBdr>
        <w:ind w:start="0" w:end="0"/>
        <w:jc w:val="center"/>
        <w:rPr>
          <w:b/>
        </w:rPr>
      </w:pPr>
      <w:r>
        <w:rPr>
          <w:b/>
        </w:rPr>
        <w:t>PROFESSIONAL HISTORY</w:t>
      </w:r>
    </w:p>
    <w:p>
      <w:pPr>
        <w:pStyle w:val="BlockTex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lockText"/>
        <w:ind w:start="0" w:end="0"/>
        <w:rPr>
          <w:b/>
        </w:rPr>
      </w:pPr>
      <w:r>
        <w:rPr>
          <w:b/>
        </w:rPr>
        <w:t>Enron Metals Limited</w:t>
      </w:r>
      <w:r>
        <w:rPr/>
        <w:tab/>
        <w:tab/>
        <w:tab/>
        <w:tab/>
        <w:tab/>
        <w:tab/>
        <w:tab/>
        <w:tab/>
        <w:tab/>
      </w:r>
      <w:r>
        <w:rPr>
          <w:sz w:val="22"/>
        </w:rPr>
        <w:t xml:space="preserve">London, England </w:t>
      </w:r>
    </w:p>
    <w:p>
      <w:pPr>
        <w:pStyle w:val="BlockText"/>
        <w:ind w:start="0" w:end="0"/>
        <w:rPr/>
      </w:pPr>
      <w:r>
        <w:rPr>
          <w:b/>
          <w:i/>
        </w:rPr>
        <w:t>Analyst, Origination</w:t>
      </w:r>
      <w:r>
        <w:rPr>
          <w:b/>
        </w:rPr>
        <w:tab/>
        <w:tab/>
        <w:tab/>
        <w:tab/>
        <w:tab/>
        <w:tab/>
        <w:tab/>
        <w:tab/>
        <w:tab/>
        <w:tab/>
      </w:r>
      <w:r>
        <w:rPr>
          <w:sz w:val="22"/>
        </w:rPr>
        <w:t>2000 - Present</w:t>
      </w:r>
    </w:p>
    <w:p>
      <w:pPr>
        <w:pStyle w:val="BlockText"/>
        <w:ind w:start="0" w:end="0"/>
        <w:rPr>
          <w:b/>
          <w:sz w:val="22"/>
        </w:rPr>
      </w:pPr>
      <w:r>
        <w:rPr>
          <w:b/>
          <w:sz w:val="22"/>
        </w:rPr>
      </w:r>
    </w:p>
    <w:p>
      <w:pPr>
        <w:pStyle w:val="Block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sz w:val="22"/>
        </w:rPr>
        <w:t>Developed a valuation model with integrated balance sheet, income statement and cash flow for the purchase of the aluminum smelter assets of a large multinational corporation.  Prepared presentations for, and participated in meetings with counterparty management.</w:t>
      </w:r>
    </w:p>
    <w:p>
      <w:pPr>
        <w:pStyle w:val="Block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sz w:val="22"/>
        </w:rPr>
        <w:t>Performed due diligence, developed a discounted cash flow model, and submitted a proposal to acquire a $150 million aluminum rolling mill.</w:t>
      </w:r>
    </w:p>
    <w:p>
      <w:pPr>
        <w:pStyle w:val="Block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sz w:val="22"/>
        </w:rPr>
        <w:t>Performed an in-depth analysis of a large North American copper company that accurately predicted the order of closure of their mining and smelting assets due to rising costs and lower copper prices.</w:t>
      </w:r>
    </w:p>
    <w:p>
      <w:pPr>
        <w:pStyle w:val="Block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b/>
          <w:sz w:val="22"/>
        </w:rPr>
      </w:pPr>
      <w:r>
        <w:rPr>
          <w:sz w:val="22"/>
        </w:rPr>
        <w:t>Part of a team which developed cross-commodity structures to take advantage of Enron’s position as a market maker in the raw materials and finished goods of copper and aluminum smelters.</w:t>
      </w:r>
    </w:p>
    <w:p>
      <w:pPr>
        <w:pStyle w:val="BlockText"/>
        <w:ind w:start="360" w:end="0"/>
        <w:rPr>
          <w:b/>
          <w:sz w:val="22"/>
        </w:rPr>
      </w:pPr>
      <w:r>
        <w:rPr>
          <w:b/>
          <w:sz w:val="22"/>
        </w:rPr>
      </w:r>
    </w:p>
    <w:p>
      <w:pPr>
        <w:pStyle w:val="BlockText"/>
        <w:ind w:start="0" w:end="0"/>
        <w:rPr>
          <w:b/>
          <w:sz w:val="22"/>
        </w:rPr>
      </w:pPr>
      <w:r>
        <w:rPr>
          <w:b/>
        </w:rPr>
        <w:t>Enron Energy Services</w:t>
      </w:r>
      <w:r>
        <w:rPr>
          <w:b/>
          <w:sz w:val="22"/>
        </w:rPr>
        <w:tab/>
        <w:tab/>
        <w:tab/>
        <w:tab/>
        <w:tab/>
        <w:tab/>
        <w:tab/>
        <w:tab/>
        <w:tab/>
      </w:r>
      <w:r>
        <w:rPr>
          <w:sz w:val="22"/>
        </w:rPr>
        <w:t>Houston, Texas</w:t>
      </w:r>
    </w:p>
    <w:p>
      <w:pPr>
        <w:pStyle w:val="BlockText"/>
        <w:ind w:start="0" w:end="0"/>
        <w:rPr>
          <w:i/>
          <w:i/>
          <w:sz w:val="22"/>
        </w:rPr>
      </w:pPr>
      <w:r>
        <w:rPr>
          <w:b/>
          <w:i/>
          <w:sz w:val="22"/>
        </w:rPr>
        <w:t>Analyst</w:t>
        <w:tab/>
        <w:t>,Commodity Risk Management</w:t>
        <w:tab/>
        <w:tab/>
        <w:tab/>
        <w:tab/>
        <w:tab/>
        <w:tab/>
        <w:tab/>
        <w:tab/>
      </w:r>
      <w:r>
        <w:rPr>
          <w:sz w:val="22"/>
        </w:rPr>
        <w:t>1999 - 2000</w:t>
      </w:r>
    </w:p>
    <w:p>
      <w:pPr>
        <w:pStyle w:val="BlockText"/>
        <w:ind w:start="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BlockText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Conducted Fundamental and Technical Analysis of the California Power Market to develop short term trading strategies.  Took positions based on this research, resulting in $5,000,000 of profits for Enron Energy Services by procuring income at the lower of the day ahead or real time markets.</w:t>
      </w:r>
    </w:p>
    <w:p>
      <w:pPr>
        <w:pStyle w:val="BlockText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Forecast and scheduled power for Enron Energy Services’ California retail customers.  Tasks included procuring power to balance daily load schedules with the CALPX and APX markets, designing a scheduling system to automate load scheduling, position taking, bookkeeping, and error tracking, and providing market analysis and settlement information for Enron Energy Services’ Load Curtailment Program.</w:t>
      </w:r>
    </w:p>
    <w:p>
      <w:pPr>
        <w:pStyle w:val="BlockText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Developed and maintained California ISO forecasts with a forecasting accuracy of 98%.</w:t>
      </w:r>
    </w:p>
    <w:p>
      <w:pPr>
        <w:pStyle w:val="BodyText"/>
        <w:ind w:end="0"/>
        <w:rPr>
          <w:sz w:val="22"/>
        </w:rPr>
      </w:pPr>
      <w:r>
        <w:rPr>
          <w:sz w:val="22"/>
        </w:rPr>
      </w:r>
    </w:p>
    <w:p>
      <w:pPr>
        <w:pStyle w:val="Heading6"/>
        <w:ind w:hanging="0" w:start="0"/>
        <w:rPr/>
      </w:pPr>
      <w:r>
        <w:rPr/>
        <w:t>EDUCATION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ind w:hanging="0" w:start="0"/>
        <w:rPr>
          <w:b w:val="false"/>
          <w:sz w:val="20"/>
        </w:rPr>
      </w:pPr>
      <w:r>
        <w:rPr>
          <w:sz w:val="24"/>
        </w:rPr>
        <w:t>Texas A&amp;M University, Lowry Mays College and Graduate School of Business</w:t>
      </w:r>
      <w:r>
        <w:rPr/>
        <w:tab/>
      </w:r>
      <w:r>
        <w:rPr>
          <w:b w:val="false"/>
        </w:rPr>
        <w:t>College Station, Texas</w:t>
      </w:r>
    </w:p>
    <w:p>
      <w:pPr>
        <w:pStyle w:val="Heading7"/>
        <w:ind w:hanging="0" w:start="0"/>
        <w:rPr/>
      </w:pPr>
      <w:r>
        <w:rPr>
          <w:b/>
          <w:sz w:val="22"/>
        </w:rPr>
        <w:t>Bachelor of Business Administration, Magna Cum Laude, GPA:  3.8</w:t>
        <w:tab/>
        <w:tab/>
        <w:tab/>
        <w:tab/>
      </w:r>
      <w:r>
        <w:rPr>
          <w:i w:val="false"/>
          <w:sz w:val="22"/>
        </w:rPr>
        <w:t>May, 1999</w:t>
      </w:r>
    </w:p>
    <w:p>
      <w:pPr>
        <w:pStyle w:val="Normal"/>
        <w:ind w:start="36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numPr>
          <w:ilvl w:val="0"/>
          <w:numId w:val="5"/>
        </w:numPr>
        <w:ind w:hanging="0" w:start="360" w:end="0"/>
        <w:rPr>
          <w:sz w:val="22"/>
        </w:rPr>
      </w:pPr>
      <w:r>
        <w:rPr>
          <w:sz w:val="22"/>
        </w:rPr>
        <w:t>Double Major in Finance and Management Information Systems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Selected as one of sixteen undergraduates to represent Texas A&amp;M in the Aggies on Wall Street Program.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Sigma Phi Epsilon Fraternity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Texas A&amp;M Football Team 1994-1996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sz w:val="24"/>
        </w:rPr>
        <w:t>Financial Services Authority, General Clearing Member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pBdr>
          <w:bottom w:val="single" w:sz="4" w:space="1" w:color="000000"/>
        </w:pBdr>
        <w:ind w:end="0"/>
        <w:jc w:val="center"/>
        <w:rPr>
          <w:b/>
          <w:sz w:val="24"/>
        </w:rPr>
      </w:pPr>
      <w:r>
        <w:rPr>
          <w:b/>
          <w:sz w:val="24"/>
        </w:rPr>
        <w:t>HONORS</w:t>
      </w:r>
    </w:p>
    <w:p>
      <w:pPr>
        <w:pStyle w:val="BodyText"/>
        <w:ind w:end="0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720" w:start="1080" w:end="0"/>
        <w:rPr>
          <w:sz w:val="22"/>
        </w:rPr>
      </w:pPr>
      <w:r>
        <w:rPr>
          <w:sz w:val="22"/>
        </w:rPr>
        <w:t>Texas A&amp;M Dean’s List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720" w:start="1080" w:end="0"/>
        <w:rPr>
          <w:sz w:val="22"/>
        </w:rPr>
      </w:pPr>
      <w:r>
        <w:rPr>
          <w:sz w:val="22"/>
        </w:rPr>
        <w:t>GTE Superior Academic Achievement Awards for Student-Athletes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720" w:start="1080" w:end="0"/>
        <w:rPr>
          <w:sz w:val="22"/>
        </w:rPr>
      </w:pPr>
      <w:r>
        <w:rPr>
          <w:sz w:val="22"/>
        </w:rPr>
        <w:t>Southwest Conference Commissioner’s Honor Roll - Football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720" w:start="1080" w:end="0"/>
        <w:rPr>
          <w:sz w:val="22"/>
        </w:rPr>
      </w:pPr>
      <w:r>
        <w:rPr>
          <w:sz w:val="22"/>
        </w:rPr>
        <w:t>Big 12 Conference Commissioner’s Honor Roll - Football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720" w:start="1080" w:end="0"/>
        <w:rPr>
          <w:sz w:val="22"/>
        </w:rPr>
      </w:pPr>
      <w:r>
        <w:rPr>
          <w:sz w:val="22"/>
        </w:rPr>
        <w:t>Golden Key Honor Society</w:t>
      </w:r>
    </w:p>
    <w:p>
      <w:pPr>
        <w:pStyle w:val="BodyText"/>
        <w:numPr>
          <w:ilvl w:val="0"/>
          <w:numId w:val="2"/>
        </w:numPr>
        <w:tabs>
          <w:tab w:val="left" w:pos="720" w:leader="none"/>
        </w:tabs>
        <w:ind w:hanging="720" w:start="1080" w:end="0"/>
        <w:rPr>
          <w:sz w:val="22"/>
        </w:rPr>
      </w:pPr>
      <w:r>
        <w:rPr>
          <w:sz w:val="22"/>
        </w:rPr>
        <w:t>Phi Kappa Phi Honor Society</w:t>
      </w:r>
    </w:p>
    <w:p>
      <w:pPr>
        <w:pStyle w:val="BodyText"/>
        <w:ind w:end="0"/>
        <w:rPr>
          <w:sz w:val="22"/>
        </w:rPr>
      </w:pPr>
      <w:r>
        <w:rPr>
          <w:sz w:val="22"/>
        </w:rPr>
      </w:r>
    </w:p>
    <w:p>
      <w:pPr>
        <w:pStyle w:val="BodyText"/>
        <w:pBdr>
          <w:bottom w:val="single" w:sz="4" w:space="1" w:color="000000"/>
        </w:pBdr>
        <w:ind w:end="0"/>
        <w:jc w:val="center"/>
        <w:rPr>
          <w:b/>
          <w:sz w:val="24"/>
        </w:rPr>
      </w:pPr>
      <w:r>
        <w:rPr>
          <w:b/>
          <w:sz w:val="24"/>
        </w:rPr>
        <w:t>ADDITIONAL INFORMATION</w:t>
      </w:r>
    </w:p>
    <w:p>
      <w:pPr>
        <w:pStyle w:val="BodyText"/>
        <w:ind w:start="360" w:end="0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ind w:start="360" w:end="0"/>
        <w:rPr/>
      </w:pPr>
      <w:r>
        <w:rPr>
          <w:b/>
          <w:bCs/>
          <w:sz w:val="22"/>
        </w:rPr>
        <w:t>Computer Skills:</w:t>
      </w:r>
      <w:r>
        <w:rPr>
          <w:sz w:val="22"/>
        </w:rPr>
        <w:t xml:space="preserve"> Proficient in Excel, Access, Word, Power Point, and Metrix ND.</w:t>
      </w:r>
    </w:p>
    <w:p>
      <w:pPr>
        <w:pStyle w:val="BodyText"/>
        <w:ind w:start="360" w:end="0"/>
        <w:rPr/>
      </w:pPr>
      <w:r>
        <w:rPr>
          <w:b/>
          <w:bCs/>
          <w:sz w:val="22"/>
        </w:rPr>
        <w:t>Interests:</w:t>
      </w:r>
      <w:r>
        <w:rPr>
          <w:sz w:val="22"/>
        </w:rPr>
        <w:t xml:space="preserve">  Basketball, golf, tennis, trivia, and theatre </w:t>
      </w:r>
    </w:p>
    <w:sectPr>
      <w:type w:val="nextPage"/>
      <w:pgSz w:w="12240" w:h="15840"/>
      <w:pgMar w:left="720" w:right="720" w:gutter="0" w:header="0" w:top="144" w:footer="0" w:bottom="1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-18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720" w:start="720" w:end="-9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1440" w:end="-180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216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bottom w:val="single" w:sz="4" w:space="1" w:color="000000"/>
      </w:pBd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40"/>
    </w:rPr>
  </w:style>
  <w:style w:type="paragraph" w:styleId="BodyText">
    <w:name w:val="Body Text"/>
    <w:basedOn w:val="Normal"/>
    <w:pPr>
      <w:ind w:hanging="0" w:start="0" w:end="-18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2160" w:end="-180"/>
    </w:pPr>
    <w:rPr>
      <w:sz w:val="24"/>
    </w:rPr>
  </w:style>
  <w:style w:type="paragraph" w:styleId="BodyTextIndent">
    <w:name w:val="Body Text Indent"/>
    <w:basedOn w:val="Normal"/>
    <w:pPr>
      <w:ind w:hanging="0" w:start="288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2001-10-15T16:58:00Z</dcterms:created>
  <dc:creator>Ryan Bell</dc:creator>
  <dc:description/>
  <dc:language>en-CA</dc:language>
  <cp:lastModifiedBy>ljones3</cp:lastModifiedBy>
  <cp:lastPrinted>2001-10-15T14:27:00Z</cp:lastPrinted>
  <dcterms:modified xsi:type="dcterms:W3CDTF">2001-10-15T16:58:00Z</dcterms:modified>
  <cp:revision>2</cp:revision>
  <dc:subject/>
  <dc:title>William Bradley Dusek</dc:title>
</cp:coreProperties>
</file>