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rPr>
      </w:pPr>
      <w:r>
        <w:rPr>
          <w:b/>
          <w:sz w:val="20"/>
        </w:rPr>
        <w:t>Bryan Garnett</w:t>
      </w:r>
    </w:p>
    <w:p>
      <w:pPr>
        <w:pStyle w:val="Normal"/>
        <w:jc w:val="center"/>
        <w:rPr>
          <w:b/>
          <w:sz w:val="20"/>
        </w:rPr>
      </w:pPr>
      <w:r>
        <w:rPr>
          <w:b/>
          <w:sz w:val="20"/>
        </w:rPr>
        <w:t>809 A. Boucher Ave.</w:t>
      </w:r>
    </w:p>
    <w:p>
      <w:pPr>
        <w:pStyle w:val="Normal"/>
        <w:jc w:val="center"/>
        <w:rPr>
          <w:b/>
          <w:sz w:val="20"/>
        </w:rPr>
      </w:pPr>
      <w:r>
        <w:rPr>
          <w:b/>
          <w:sz w:val="20"/>
        </w:rPr>
        <w:t>Annapolis, MD  21403</w:t>
      </w:r>
    </w:p>
    <w:p>
      <w:pPr>
        <w:pStyle w:val="Normal"/>
        <w:jc w:val="center"/>
        <w:rPr>
          <w:b/>
          <w:sz w:val="20"/>
        </w:rPr>
      </w:pPr>
      <w:r>
        <w:rPr>
          <w:b/>
          <w:sz w:val="20"/>
        </w:rPr>
        <w:t>410-280-8676</w:t>
      </w:r>
    </w:p>
    <w:p>
      <w:pPr>
        <w:pStyle w:val="Normal"/>
        <w:rPr>
          <w:b/>
          <w:sz w:val="20"/>
        </w:rPr>
      </w:pPr>
      <w:r>
        <w:rPr>
          <w:b/>
          <w:sz w:val="20"/>
        </w:rPr>
      </w:r>
    </w:p>
    <w:p>
      <w:pPr>
        <w:pStyle w:val="Normal"/>
        <w:rPr>
          <w:sz w:val="20"/>
        </w:rPr>
      </w:pPr>
      <w:r>
        <w:rPr>
          <w:sz w:val="20"/>
        </w:rPr>
      </w:r>
    </w:p>
    <w:p>
      <w:pPr>
        <w:pStyle w:val="Normal"/>
        <w:rPr>
          <w:b/>
          <w:sz w:val="20"/>
        </w:rPr>
      </w:pPr>
      <w:r>
        <w:rPr>
          <w:b/>
          <w:sz w:val="20"/>
        </w:rPr>
        <w:t>Experience:</w:t>
      </w:r>
    </w:p>
    <w:p>
      <w:pPr>
        <w:pStyle w:val="Normal"/>
        <w:rPr>
          <w:b/>
          <w:sz w:val="20"/>
        </w:rPr>
      </w:pPr>
      <w:r>
        <w:rPr>
          <w:b/>
          <w:sz w:val="20"/>
        </w:rPr>
      </w:r>
    </w:p>
    <w:p>
      <w:pPr>
        <w:pStyle w:val="Normal"/>
        <w:rPr>
          <w:b/>
          <w:sz w:val="20"/>
        </w:rPr>
      </w:pPr>
      <w:r>
        <w:rPr>
          <w:b/>
          <w:sz w:val="20"/>
        </w:rPr>
        <w:t>Merchant Energy Group of the Americas, Annapolis, MD</w:t>
        <w:tab/>
        <w:tab/>
        <w:t>June 1999-present</w:t>
      </w:r>
    </w:p>
    <w:p>
      <w:pPr>
        <w:pStyle w:val="Normal"/>
        <w:rPr>
          <w:b/>
          <w:sz w:val="20"/>
        </w:rPr>
      </w:pPr>
      <w:r>
        <w:rPr>
          <w:b/>
          <w:sz w:val="20"/>
        </w:rPr>
      </w:r>
    </w:p>
    <w:p>
      <w:pPr>
        <w:pStyle w:val="Heading3"/>
        <w:ind w:hanging="0" w:start="0"/>
        <w:rPr/>
      </w:pPr>
      <w:r>
        <w:rPr/>
        <w:t>West Coast Power Trader</w:t>
      </w:r>
    </w:p>
    <w:p>
      <w:pPr>
        <w:pStyle w:val="Normal"/>
        <w:rPr>
          <w:sz w:val="20"/>
          <w:u w:val="single"/>
        </w:rPr>
      </w:pPr>
      <w:r>
        <w:rPr>
          <w:sz w:val="20"/>
          <w:u w:val="single"/>
        </w:rPr>
      </w:r>
    </w:p>
    <w:p>
      <w:pPr>
        <w:pStyle w:val="BodyText"/>
        <w:rPr/>
      </w:pPr>
      <w:r>
        <w:rPr/>
        <w:t xml:space="preserve">Managed  sizable term positions in Palo Verde, COB, SP 15, and Mid Columbia regions.  Used physicals, swaps, futures, and options to hedge various types of market risk.  Traded daily COB, Palo Verde, and Mid-Columbia physicals against index positions.   Executed natural gas futures.  Assisted structuring group in analysis of value of power plants.  Priced physical options for industrial customers.  Maintained models to facilitate accurate pricing.  Acted as a liaison between the trading desk and the marketing team.    </w:t>
      </w:r>
    </w:p>
    <w:p>
      <w:pPr>
        <w:pStyle w:val="Normal"/>
        <w:rPr>
          <w:b/>
          <w:sz w:val="20"/>
        </w:rPr>
      </w:pPr>
      <w:r>
        <w:rPr>
          <w:b/>
          <w:sz w:val="20"/>
        </w:rPr>
      </w:r>
    </w:p>
    <w:p>
      <w:pPr>
        <w:pStyle w:val="Normal"/>
        <w:rPr>
          <w:b/>
          <w:sz w:val="20"/>
        </w:rPr>
      </w:pPr>
      <w:r>
        <w:rPr>
          <w:b/>
          <w:sz w:val="20"/>
        </w:rPr>
        <w:t>Conectiv Energy, Newark, DE</w:t>
        <w:tab/>
        <w:tab/>
        <w:tab/>
        <w:tab/>
        <w:tab/>
        <w:t>December 1997-June 1999</w:t>
      </w:r>
    </w:p>
    <w:p>
      <w:pPr>
        <w:pStyle w:val="Normal"/>
        <w:rPr>
          <w:b/>
          <w:sz w:val="20"/>
        </w:rPr>
      </w:pPr>
      <w:r>
        <w:rPr>
          <w:b/>
          <w:sz w:val="20"/>
        </w:rPr>
      </w:r>
    </w:p>
    <w:p>
      <w:pPr>
        <w:pStyle w:val="Heading1"/>
        <w:ind w:hanging="0" w:start="0"/>
        <w:rPr>
          <w:sz w:val="20"/>
        </w:rPr>
      </w:pPr>
      <w:r>
        <w:rPr>
          <w:sz w:val="20"/>
        </w:rPr>
        <w:t>Financial Trader</w:t>
      </w:r>
    </w:p>
    <w:p>
      <w:pPr>
        <w:pStyle w:val="Normal"/>
        <w:rPr>
          <w:sz w:val="20"/>
          <w:u w:val="single"/>
        </w:rPr>
      </w:pPr>
      <w:r>
        <w:rPr>
          <w:sz w:val="20"/>
          <w:u w:val="single"/>
        </w:rPr>
      </w:r>
    </w:p>
    <w:p>
      <w:pPr>
        <w:pStyle w:val="Normal"/>
        <w:rPr>
          <w:sz w:val="20"/>
        </w:rPr>
      </w:pPr>
      <w:r>
        <w:rPr>
          <w:sz w:val="20"/>
        </w:rPr>
        <w:t>Traded Nymex natural gas futures and options and over-the-counter swaps for merchant energy group. Used technical analysis and option theory to discover profit opportunities for entire merchant gas group.  Executed and designed physical option strategies for physical PJM traders.  Managed overall natural gas futures and options exposure into settlement with EFP’s and swaps for futures.</w:t>
      </w:r>
    </w:p>
    <w:p>
      <w:pPr>
        <w:pStyle w:val="Heading3"/>
        <w:ind w:hanging="0" w:start="0"/>
        <w:rPr>
          <w:sz w:val="20"/>
        </w:rPr>
      </w:pPr>
      <w:r>
        <w:rPr>
          <w:sz w:val="20"/>
        </w:rPr>
      </w:r>
    </w:p>
    <w:p>
      <w:pPr>
        <w:pStyle w:val="Heading3"/>
        <w:ind w:hanging="0" w:start="0"/>
        <w:rPr/>
      </w:pPr>
      <w:r>
        <w:rPr/>
        <w:t>Commodities Analyst</w:t>
      </w:r>
    </w:p>
    <w:p>
      <w:pPr>
        <w:pStyle w:val="Normal"/>
        <w:rPr>
          <w:sz w:val="20"/>
        </w:rPr>
      </w:pPr>
      <w:r>
        <w:rPr>
          <w:sz w:val="20"/>
        </w:rPr>
      </w:r>
    </w:p>
    <w:p>
      <w:pPr>
        <w:pStyle w:val="Normal"/>
        <w:rPr>
          <w:sz w:val="20"/>
        </w:rPr>
      </w:pPr>
      <w:r>
        <w:rPr>
          <w:sz w:val="20"/>
        </w:rPr>
        <w:t xml:space="preserve">Worked with risk manager to create delta-normal value-at-risk for merchant group.  Structured deals with embedded options for industrial and retail customers.  Executed futures and options to manage fixed price exposure.  </w:t>
      </w:r>
    </w:p>
    <w:p>
      <w:pPr>
        <w:pStyle w:val="Normal"/>
        <w:rPr>
          <w:sz w:val="20"/>
        </w:rPr>
      </w:pPr>
      <w:r>
        <w:rPr>
          <w:sz w:val="20"/>
        </w:rPr>
      </w:r>
    </w:p>
    <w:p>
      <w:pPr>
        <w:pStyle w:val="Normal"/>
        <w:rPr/>
      </w:pPr>
      <w:r>
        <w:rPr>
          <w:b/>
          <w:sz w:val="20"/>
        </w:rPr>
        <w:t>Tuscorara Trading, Chicago, IL</w:t>
      </w:r>
      <w:r>
        <w:rPr>
          <w:sz w:val="20"/>
        </w:rPr>
        <w:tab/>
        <w:tab/>
        <w:tab/>
        <w:tab/>
        <w:tab/>
      </w:r>
      <w:r>
        <w:rPr>
          <w:b/>
          <w:sz w:val="20"/>
        </w:rPr>
        <w:t>January 1997-September 1997</w:t>
      </w:r>
    </w:p>
    <w:p>
      <w:pPr>
        <w:pStyle w:val="Normal"/>
        <w:rPr>
          <w:b/>
          <w:sz w:val="20"/>
        </w:rPr>
      </w:pPr>
      <w:r>
        <w:rPr>
          <w:b/>
          <w:sz w:val="20"/>
        </w:rPr>
      </w:r>
    </w:p>
    <w:p>
      <w:pPr>
        <w:pStyle w:val="Heading1"/>
        <w:ind w:hanging="0" w:start="0"/>
        <w:rPr>
          <w:sz w:val="20"/>
        </w:rPr>
      </w:pPr>
      <w:r>
        <w:rPr>
          <w:sz w:val="20"/>
        </w:rPr>
        <w:t>Assistant Trader</w:t>
      </w:r>
    </w:p>
    <w:p>
      <w:pPr>
        <w:pStyle w:val="Normal"/>
        <w:rPr>
          <w:sz w:val="20"/>
          <w:u w:val="single"/>
        </w:rPr>
      </w:pPr>
      <w:r>
        <w:rPr>
          <w:sz w:val="20"/>
          <w:u w:val="single"/>
        </w:rPr>
      </w:r>
    </w:p>
    <w:p>
      <w:pPr>
        <w:pStyle w:val="Normal"/>
        <w:rPr>
          <w:sz w:val="20"/>
        </w:rPr>
      </w:pPr>
      <w:r>
        <w:rPr>
          <w:sz w:val="20"/>
        </w:rPr>
        <w:t xml:space="preserve">Assisted a group of option market makers in the 30-year bond future option pit of the Chicago Board of Trade.  Monitored the risk of the traders’ position by tracking the gamma, delta, and vega of the positions at all time.  Entered hedges in the futures pits to offset price risk.  Updated traders of volatility levels throughout the pit with the use of hand signals.  </w:t>
      </w:r>
    </w:p>
    <w:p>
      <w:pPr>
        <w:pStyle w:val="Normal"/>
        <w:rPr>
          <w:sz w:val="20"/>
        </w:rPr>
      </w:pPr>
      <w:r>
        <w:rPr>
          <w:sz w:val="20"/>
        </w:rPr>
      </w:r>
    </w:p>
    <w:p>
      <w:pPr>
        <w:pStyle w:val="Heading2"/>
        <w:ind w:hanging="0" w:start="0"/>
        <w:rPr>
          <w:sz w:val="20"/>
        </w:rPr>
      </w:pPr>
      <w:r>
        <w:rPr>
          <w:sz w:val="20"/>
        </w:rPr>
        <w:t>Tradelink, Chicago, IL</w:t>
        <w:tab/>
        <w:tab/>
        <w:tab/>
        <w:tab/>
        <w:tab/>
        <w:tab/>
        <w:t>September 1996-December 1996</w:t>
      </w:r>
    </w:p>
    <w:p>
      <w:pPr>
        <w:pStyle w:val="Normal"/>
        <w:rPr>
          <w:sz w:val="20"/>
          <w:u w:val="single"/>
        </w:rPr>
      </w:pPr>
      <w:r>
        <w:rPr>
          <w:sz w:val="20"/>
          <w:u w:val="single"/>
        </w:rPr>
      </w:r>
    </w:p>
    <w:p>
      <w:pPr>
        <w:pStyle w:val="Heading1"/>
        <w:ind w:hanging="0" w:start="0"/>
        <w:rPr>
          <w:sz w:val="20"/>
        </w:rPr>
      </w:pPr>
      <w:r>
        <w:rPr>
          <w:sz w:val="20"/>
        </w:rPr>
        <w:t>Options Clerk</w:t>
      </w:r>
    </w:p>
    <w:p>
      <w:pPr>
        <w:pStyle w:val="Normal"/>
        <w:rPr>
          <w:sz w:val="20"/>
        </w:rPr>
      </w:pPr>
      <w:r>
        <w:rPr>
          <w:sz w:val="20"/>
        </w:rPr>
      </w:r>
    </w:p>
    <w:p>
      <w:pPr>
        <w:pStyle w:val="Normal"/>
        <w:rPr>
          <w:sz w:val="20"/>
          <w:u w:val="single"/>
        </w:rPr>
      </w:pPr>
      <w:r>
        <w:rPr>
          <w:sz w:val="20"/>
        </w:rPr>
        <w:t>Assisted a group of option market makers in the corn and soybean option pits at the Chicago Board of Trade.  Ran positions for the traders updating their delta, gamma, and theta positions.  Entered spread orders in the future pits to enable traders to adjust their risk during delivery.</w:t>
      </w:r>
    </w:p>
    <w:p>
      <w:pPr>
        <w:pStyle w:val="Normal"/>
        <w:rPr>
          <w:sz w:val="20"/>
          <w:u w:val="single"/>
        </w:rPr>
      </w:pPr>
      <w:r>
        <w:rPr>
          <w:sz w:val="20"/>
          <w:u w:val="single"/>
        </w:rPr>
      </w:r>
    </w:p>
    <w:p>
      <w:pPr>
        <w:pStyle w:val="Heading2"/>
        <w:ind w:hanging="0" w:start="0"/>
        <w:rPr>
          <w:sz w:val="20"/>
          <w:u w:val="single"/>
        </w:rPr>
      </w:pPr>
      <w:r>
        <w:rPr>
          <w:sz w:val="20"/>
          <w:u w:val="single"/>
        </w:rPr>
      </w:r>
    </w:p>
    <w:p>
      <w:pPr>
        <w:pStyle w:val="Heading2"/>
        <w:ind w:hanging="0" w:start="0"/>
        <w:rPr>
          <w:sz w:val="20"/>
        </w:rPr>
      </w:pPr>
      <w:r>
        <w:rPr>
          <w:sz w:val="20"/>
        </w:rPr>
      </w:r>
    </w:p>
    <w:p>
      <w:pPr>
        <w:pStyle w:val="Heading2"/>
        <w:ind w:hanging="0" w:start="0"/>
        <w:rPr>
          <w:sz w:val="20"/>
        </w:rPr>
      </w:pPr>
      <w:r>
        <w:rPr>
          <w:sz w:val="20"/>
        </w:rPr>
      </w:r>
    </w:p>
    <w:p>
      <w:pPr>
        <w:pStyle w:val="Heading2"/>
        <w:ind w:hanging="0" w:start="0"/>
        <w:rPr>
          <w:sz w:val="20"/>
        </w:rPr>
      </w:pPr>
      <w:r>
        <w:rPr>
          <w:sz w:val="20"/>
        </w:rPr>
      </w:r>
    </w:p>
    <w:p>
      <w:pPr>
        <w:pStyle w:val="Normal"/>
        <w:rPr>
          <w:sz w:val="20"/>
        </w:rPr>
      </w:pPr>
      <w:r>
        <w:rPr>
          <w:sz w:val="20"/>
        </w:rPr>
      </w:r>
    </w:p>
    <w:p>
      <w:pPr>
        <w:pStyle w:val="Normal"/>
        <w:rPr>
          <w:sz w:val="20"/>
        </w:rPr>
      </w:pPr>
      <w:r>
        <w:rPr>
          <w:sz w:val="20"/>
        </w:rPr>
      </w:r>
    </w:p>
    <w:p>
      <w:pPr>
        <w:pStyle w:val="Heading4"/>
        <w:ind w:hanging="0" w:start="0"/>
        <w:rPr/>
      </w:pPr>
      <w:r>
        <w:rPr/>
        <w:t>EDUCATION</w:t>
      </w:r>
    </w:p>
    <w:p>
      <w:pPr>
        <w:pStyle w:val="Normal"/>
        <w:rPr>
          <w:sz w:val="20"/>
        </w:rPr>
      </w:pPr>
      <w:r>
        <w:rPr>
          <w:sz w:val="20"/>
        </w:rPr>
      </w:r>
    </w:p>
    <w:p>
      <w:pPr>
        <w:pStyle w:val="Normal"/>
        <w:rPr>
          <w:sz w:val="20"/>
        </w:rPr>
      </w:pPr>
      <w:r>
        <w:rPr>
          <w:sz w:val="20"/>
        </w:rPr>
        <w:tab/>
        <w:t>University of Virginia, McIntire School of Commerce</w:t>
      </w:r>
    </w:p>
    <w:p>
      <w:pPr>
        <w:pStyle w:val="Normal"/>
        <w:ind w:start="720" w:end="0"/>
        <w:rPr>
          <w:sz w:val="20"/>
        </w:rPr>
      </w:pPr>
      <w:r>
        <w:rPr>
          <w:sz w:val="20"/>
        </w:rPr>
        <w:t>Bachelor of Science in Commerce with concentrations in finance and management.  May 1996</w:t>
      </w:r>
    </w:p>
    <w:p>
      <w:pPr>
        <w:pStyle w:val="Normal"/>
        <w:rPr>
          <w:sz w:val="20"/>
        </w:rPr>
      </w:pPr>
      <w:r>
        <w:rPr>
          <w:sz w:val="20"/>
        </w:rPr>
      </w:r>
    </w:p>
    <w:p>
      <w:pPr>
        <w:pStyle w:val="Heading2"/>
        <w:ind w:hanging="0" w:start="0"/>
        <w:rPr>
          <w:sz w:val="20"/>
        </w:rPr>
      </w:pPr>
      <w:r>
        <w:rPr>
          <w:sz w:val="20"/>
        </w:rPr>
        <w:t>COMPUTER</w:t>
      </w:r>
    </w:p>
    <w:p>
      <w:pPr>
        <w:pStyle w:val="Normal"/>
        <w:rPr>
          <w:b/>
          <w:sz w:val="20"/>
        </w:rPr>
      </w:pPr>
      <w:r>
        <w:rPr>
          <w:b/>
          <w:sz w:val="20"/>
        </w:rPr>
        <w:t>EXPERIENCE</w:t>
      </w:r>
    </w:p>
    <w:p>
      <w:pPr>
        <w:pStyle w:val="Normal"/>
        <w:rPr>
          <w:b/>
          <w:sz w:val="20"/>
        </w:rPr>
      </w:pPr>
      <w:r>
        <w:rPr>
          <w:b/>
          <w:sz w:val="20"/>
        </w:rPr>
      </w:r>
    </w:p>
    <w:p>
      <w:pPr>
        <w:pStyle w:val="Normal"/>
        <w:rPr>
          <w:sz w:val="20"/>
        </w:rPr>
      </w:pPr>
      <w:r>
        <w:rPr>
          <w:sz w:val="20"/>
        </w:rPr>
        <w:tab/>
        <w:t>Software:  Microsoft Word, WordPerfect, Quattro Pro, Powerpoint, Microsoft Excel</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sz w:val="20"/>
      <w:u w:val="single"/>
    </w:rPr>
  </w:style>
  <w:style w:type="paragraph" w:styleId="Heading4">
    <w:name w:val="heading 4"/>
    <w:basedOn w:val="Normal"/>
    <w:next w:val="Normal"/>
    <w:qFormat/>
    <w:pPr>
      <w:keepNext w:val="true"/>
      <w:numPr>
        <w:ilvl w:val="3"/>
        <w:numId w:val="1"/>
      </w:numPr>
      <w:outlineLvl w:val="3"/>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2000-11-22T16:40:00Z</dcterms:created>
  <dc:creator>GarnettB</dc:creator>
  <dc:description/>
  <dc:language>en-CA</dc:language>
  <cp:lastModifiedBy>Corp</cp:lastModifiedBy>
  <dcterms:modified xsi:type="dcterms:W3CDTF">2000-11-22T16:40:00Z</dcterms:modified>
  <cp:revision>2</cp:revision>
  <dc:subject/>
  <dc:title>Bryan Garnett</dc:title>
</cp:coreProperties>
</file>