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5.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4410" cy="987425"/>
                          </a:xfrm>
                          <a:prstGeom prst="rect">
                            <a:avLst/>
                          </a:prstGeom>
                          <a:noFill/>
                        </pic:spPr>
                      </pic:pic>
                    </a:graphicData>
                  </a:graphic>
                </wp:inline>
              </w:drawing>
            </w:r>
          </w:p>
        </w:tc>
        <w:tc>
          <w:tcPr>
            <w:tcW w:w="7740" w:type="dxa"/>
            <w:tcBorders/>
          </w:tcPr>
          <w:p>
            <w:pPr>
              <w:pStyle w:val="Heading"/>
              <w:tabs>
                <w:tab w:val="clear" w:pos="720"/>
                <w:tab w:val="left" w:pos="3222" w:leader="none"/>
              </w:tabs>
              <w:rPr>
                <w:b w:val="false"/>
                <w:sz w:val="20"/>
              </w:rPr>
            </w:pPr>
            <w:r>
              <w:rPr>
                <w:sz w:val="20"/>
              </w:rPr>
              <w:tab/>
              <w:t xml:space="preserve">                             Enron Power Marketing, Inc.</w:t>
            </w:r>
          </w:p>
          <w:p>
            <w:pPr>
              <w:pStyle w:val="Heading"/>
              <w:tabs>
                <w:tab w:val="clear" w:pos="720"/>
                <w:tab w:val="left" w:pos="3222" w:leader="none"/>
              </w:tabs>
              <w:rPr/>
            </w:pPr>
            <w:r>
              <w:rPr>
                <w:b w:val="false"/>
                <w:i/>
                <w:sz w:val="20"/>
              </w:rPr>
              <w:tab/>
              <w:t xml:space="preserve">                             </w:t>
            </w:r>
            <w:r>
              <w:rPr>
                <w:b w:val="false"/>
                <w:sz w:val="16"/>
              </w:rPr>
              <w:t>P.O. Box 4428</w:t>
            </w:r>
          </w:p>
          <w:p>
            <w:pPr>
              <w:pStyle w:val="Heading"/>
              <w:tabs>
                <w:tab w:val="clear" w:pos="720"/>
                <w:tab w:val="left" w:pos="3222" w:leader="none"/>
              </w:tabs>
              <w:rPr/>
            </w:pPr>
            <w:r>
              <w:rPr>
                <w:rFonts w:eastAsia="Arial"/>
                <w:i/>
                <w:sz w:val="16"/>
              </w:rPr>
              <w:t xml:space="preserve">                                                                                                          </w:t>
            </w:r>
            <w:r>
              <w:rPr>
                <w:b w:val="false"/>
                <w:i/>
                <w:sz w:val="16"/>
              </w:rPr>
              <w:t>Houston, Texas 77210-4428</w:t>
            </w:r>
          </w:p>
          <w:p>
            <w:pPr>
              <w:pStyle w:val="Heading"/>
              <w:tabs>
                <w:tab w:val="clear" w:pos="720"/>
                <w:tab w:val="left" w:pos="3222" w:leader="none"/>
              </w:tabs>
              <w:rPr/>
            </w:pPr>
            <w:r>
              <w:rPr>
                <w:rFonts w:eastAsia="Arial"/>
                <w:sz w:val="16"/>
              </w:rPr>
              <w:t xml:space="preserve">                                                                                                          </w:t>
            </w:r>
            <w:r>
              <w:rPr>
                <w:b w:val="false"/>
                <w:sz w:val="16"/>
              </w:rPr>
              <w:t>(FAX) (713) 646-2491</w:t>
            </w:r>
          </w:p>
          <w:p>
            <w:pPr>
              <w:pStyle w:val="BodyTextIndent"/>
              <w:tabs>
                <w:tab w:val="left" w:pos="720" w:leader="none"/>
                <w:tab w:val="left" w:pos="1440" w:leader="none"/>
                <w:tab w:val="left" w:pos="2160" w:leader="none"/>
                <w:tab w:val="left" w:pos="3222"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end="0"/>
              <w:rPr>
                <w:i/>
                <w:i/>
                <w:sz w:val="16"/>
              </w:rPr>
            </w:pPr>
            <w:r>
              <w:rPr>
                <w:i/>
                <w:sz w:val="16"/>
              </w:rPr>
              <w:t xml:space="preserve">                                                                                                                      </w:t>
            </w:r>
          </w:p>
          <w:p>
            <w:pPr>
              <w:pStyle w:val="Normal"/>
              <w:tabs>
                <w:tab w:val="clear" w:pos="720"/>
                <w:tab w:val="left" w:pos="3222" w:leader="none"/>
              </w:tabs>
              <w:rPr>
                <w:sz w:val="20"/>
              </w:rPr>
            </w:pPr>
            <w:r>
              <w:rPr>
                <w:rFonts w:cs="Arial" w:ascii="Arial" w:hAnsi="Arial"/>
                <w:sz w:val="16"/>
              </w:rPr>
              <w:tab/>
            </w:r>
          </w:p>
        </w:tc>
      </w:tr>
    </w:tbl>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360" w:after="0"/>
        <w:rPr>
          <w:sz w:val="22"/>
        </w:rPr>
      </w:pPr>
      <w:r>
        <w:rPr>
          <w:sz w:val="22"/>
        </w:rPr>
        <w:fldChar w:fldCharType="begin"/>
      </w:r>
      <w:r>
        <w:rPr>
          <w:sz w:val="22"/>
        </w:rPr>
        <w:instrText xml:space="preserve"> MERGEFIELD DateToday </w:instrText>
      </w:r>
      <w:r>
        <w:rPr>
          <w:sz w:val="22"/>
        </w:rPr>
        <w:fldChar w:fldCharType="separate"/>
      </w:r>
      <w:r>
        <w:rPr>
          <w:sz w:val="22"/>
        </w:rPr>
        <w:t>December 12, 2000</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fldChar w:fldCharType="begin"/>
      </w:r>
      <w:r>
        <w:rPr>
          <w:sz w:val="22"/>
        </w:rPr>
        <w:instrText xml:space="preserve"> MERGEFIELD CounterpartyContact </w:instrText>
      </w:r>
      <w:r>
        <w:rPr>
          <w:sz w:val="22"/>
        </w:rPr>
        <w:fldChar w:fldCharType="separate"/>
      </w:r>
      <w:r>
        <w:rPr>
          <w:sz w:val="22"/>
        </w:rPr>
        <w:t>Tom Hancock</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CounterpartyName </w:instrText>
      </w:r>
      <w:r>
        <w:rPr>
          <w:sz w:val="22"/>
        </w:rPr>
        <w:fldChar w:fldCharType="separate"/>
      </w:r>
      <w:r>
        <w:rPr>
          <w:sz w:val="22"/>
        </w:rPr>
        <w:t>Bryan, City Of</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CounterpartyAddr1 </w:instrText>
      </w:r>
      <w:r>
        <w:rPr>
          <w:sz w:val="22"/>
        </w:rPr>
        <w:fldChar w:fldCharType="separate"/>
      </w:r>
      <w:r>
        <w:rPr>
          <w:sz w:val="22"/>
        </w:rPr>
        <w:t>300 S Texas Ave</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CounterpartyAddr1 </w:instrText>
      </w:r>
      <w:r>
        <w:rPr>
          <w:sz w:val="22"/>
        </w:rPr>
        <w:fldChar w:fldCharType="separate"/>
      </w:r>
      <w:r>
        <w:rPr>
          <w:sz w:val="22"/>
        </w:rPr>
        <w:t>Bryan, TX 77803-3937</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CounterpartyAddrCity </w:instrText>
      </w:r>
      <w:r>
        <w:rPr>
          <w:sz w:val="22"/>
        </w:rPr>
        <w:fldChar w:fldCharType="separate"/>
      </w:r>
      <w:r>
        <w:rPr>
          <w:sz w:val="22"/>
        </w:rPr>
      </w:r>
      <w:r>
        <w:rPr>
          <w:sz w:val="22"/>
        </w:rPr>
        <w:fldChar w:fldCharType="end"/>
      </w:r>
      <w:r>
        <w:rPr>
          <w:sz w:val="22"/>
        </w:rPr>
        <w:fldChar w:fldCharType="begin"/>
      </w:r>
      <w:r>
        <w:rPr>
          <w:sz w:val="22"/>
        </w:rPr>
        <w:instrText xml:space="preserve"> MERGEFIELD CounterpartyAddrState </w:instrText>
      </w:r>
      <w:r>
        <w:rPr>
          <w:sz w:val="22"/>
        </w:rPr>
        <w:fldChar w:fldCharType="separate"/>
      </w:r>
      <w:r>
        <w:rPr>
          <w:sz w:val="22"/>
        </w:rPr>
      </w:r>
      <w:r>
        <w:rPr>
          <w:sz w:val="22"/>
        </w:rPr>
        <w:fldChar w:fldCharType="end"/>
      </w:r>
      <w:r>
        <w:rPr>
          <w:sz w:val="22"/>
        </w:rPr>
        <w:fldChar w:fldCharType="begin"/>
      </w:r>
      <w:r>
        <w:rPr>
          <w:sz w:val="22"/>
        </w:rPr>
        <w:instrText xml:space="preserve"> MERGEFIELD CounterpartyAddrZip </w:instrText>
      </w:r>
      <w:r>
        <w:rPr>
          <w:sz w:val="22"/>
        </w:rPr>
        <w:fldChar w:fldCharType="separate"/>
      </w:r>
      <w:r>
        <w:rPr>
          <w:sz w:val="22"/>
        </w:rPr>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FAX </w:t>
      </w:r>
      <w:r>
        <w:rPr>
          <w:sz w:val="22"/>
        </w:rPr>
        <w:fldChar w:fldCharType="begin"/>
      </w:r>
      <w:r>
        <w:rPr>
          <w:sz w:val="22"/>
        </w:rPr>
        <w:instrText xml:space="preserve"> MERGEFIELD CounterpartyFax </w:instrText>
      </w:r>
      <w:r>
        <w:rPr>
          <w:sz w:val="22"/>
        </w:rPr>
        <w:fldChar w:fldCharType="separate"/>
      </w:r>
      <w:r>
        <w:rPr>
          <w:sz w:val="22"/>
        </w:rPr>
        <w:t>(979) 821-5795</w:t>
      </w:r>
      <w:r>
        <w:rPr>
          <w:sz w:val="22"/>
        </w:rPr>
        <w:fldChar w:fldCharType="end"/>
      </w:r>
    </w:p>
    <w:p>
      <w:pPr>
        <w:pStyle w:val="Heading4"/>
        <w:spacing w:before="240" w:after="0"/>
        <w:ind w:hanging="0" w:start="0"/>
        <w:rPr>
          <w:smallCaps/>
          <w:sz w:val="22"/>
          <w:u w:val="single"/>
        </w:rPr>
      </w:pPr>
      <w:r>
        <w:rPr>
          <w:smallCaps/>
          <w:sz w:val="22"/>
          <w:u w:val="single"/>
        </w:rPr>
        <w:t>Confirmation Letter</w:t>
      </w:r>
    </w:p>
    <w:p>
      <w:pPr>
        <w:pStyle w:val="BodyText"/>
        <w:rPr/>
      </w:pPr>
      <w:r>
        <w:rPr>
          <w:sz w:val="22"/>
        </w:rPr>
        <w:tab/>
        <w:t xml:space="preserve">This Confirmation Letter ("Confirmation Letter"), together with the general terms and conditions contained in Annex A attached hereto and made a part hereof ("Confirmation"), shall confirm the Parking Transaction Agreement ("Transaction") entered into efffective </w:t>
      </w:r>
      <w:r>
        <w:rPr>
          <w:sz w:val="22"/>
        </w:rPr>
        <w:fldChar w:fldCharType="begin"/>
      </w:r>
      <w:r>
        <w:rPr>
          <w:sz w:val="22"/>
        </w:rPr>
        <w:instrText xml:space="preserve"> MERGEFIELD DealDate </w:instrText>
      </w:r>
      <w:r>
        <w:rPr>
          <w:sz w:val="22"/>
        </w:rPr>
        <w:fldChar w:fldCharType="separate"/>
      </w:r>
      <w:r>
        <w:rPr>
          <w:sz w:val="22"/>
        </w:rPr>
        <w:t>December 11, 2000</w:t>
      </w:r>
      <w:r>
        <w:rPr>
          <w:sz w:val="22"/>
        </w:rPr>
        <w:fldChar w:fldCharType="end"/>
      </w:r>
      <w:r>
        <w:rPr>
          <w:sz w:val="22"/>
        </w:rPr>
        <w:t xml:space="preserve"> between City of </w:t>
      </w:r>
      <w:r>
        <w:rPr>
          <w:sz w:val="22"/>
        </w:rPr>
        <w:fldChar w:fldCharType="begin"/>
      </w:r>
      <w:r>
        <w:rPr>
          <w:sz w:val="22"/>
        </w:rPr>
        <w:instrText xml:space="preserve"> MERGEFIELD CounterpartyName </w:instrText>
      </w:r>
      <w:r>
        <w:rPr>
          <w:sz w:val="22"/>
        </w:rPr>
        <w:fldChar w:fldCharType="separate"/>
      </w:r>
      <w:r>
        <w:rPr>
          <w:sz w:val="22"/>
        </w:rPr>
        <w:t xml:space="preserve">Bryan, </w:t>
      </w:r>
      <w:r>
        <w:rPr>
          <w:sz w:val="22"/>
        </w:rPr>
        <w:fldChar w:fldCharType="end"/>
      </w:r>
      <w:r>
        <w:rPr>
          <w:sz w:val="22"/>
        </w:rPr>
        <w:t xml:space="preserve"> a Texas home rule municipal corporation acting by and through its division Bryan Texas Utilities (“CB”) and </w:t>
      </w:r>
      <w:r>
        <w:rPr>
          <w:sz w:val="22"/>
        </w:rPr>
        <w:fldChar w:fldCharType="begin"/>
      </w:r>
      <w:r>
        <w:rPr>
          <w:sz w:val="22"/>
        </w:rPr>
        <w:instrText xml:space="preserve"> MERGEFIELD EnronEntityNameCode </w:instrText>
      </w:r>
      <w:r>
        <w:rPr>
          <w:sz w:val="22"/>
        </w:rPr>
        <w:fldChar w:fldCharType="separate"/>
      </w:r>
      <w:r>
        <w:rPr>
          <w:sz w:val="22"/>
        </w:rPr>
        <w:t>Enron Power Marketing, Inc. (“EPMI”)</w:t>
      </w:r>
      <w:r>
        <w:rPr>
          <w:sz w:val="22"/>
        </w:rPr>
        <w:fldChar w:fldCharType="end"/>
      </w:r>
      <w:r>
        <w:rPr>
          <w:sz w:val="22"/>
        </w:rPr>
        <w:t xml:space="preserve"> regarding the potential purchase and sale of energy in parking transactionsdurning the Term and subject to the terms and conditions that follow:</w:t>
      </w:r>
    </w:p>
    <w:p>
      <w:pPr>
        <w:pStyle w:val="BodyText"/>
        <w:rPr>
          <w:sz w:val="22"/>
        </w:rPr>
      </w:pPr>
      <w:r>
        <w:rPr>
          <w:sz w:val="22"/>
        </w:rPr>
      </w:r>
    </w:p>
    <w:tbl>
      <w:tblPr>
        <w:tblW w:w="10159" w:type="dxa"/>
        <w:jc w:val="start"/>
        <w:tblInd w:w="0" w:type="dxa"/>
        <w:tblLayout w:type="fixed"/>
        <w:tblCellMar>
          <w:top w:w="0" w:type="dxa"/>
          <w:start w:w="108" w:type="dxa"/>
          <w:bottom w:w="0" w:type="dxa"/>
          <w:end w:w="108" w:type="dxa"/>
        </w:tblCellMar>
      </w:tblPr>
      <w:tblGrid>
        <w:gridCol w:w="10159"/>
      </w:tblGrid>
      <w:tr>
        <w:trPr/>
        <w:tc>
          <w:tcPr>
            <w:tcW w:w="10159" w:type="dxa"/>
            <w:tcBorders/>
          </w:tcPr>
          <w:p>
            <w:pPr>
              <w:pStyle w:val="BodyText"/>
              <w:spacing w:before="0" w:after="0"/>
              <w:rPr>
                <w:sz w:val="22"/>
              </w:rPr>
            </w:pPr>
            <w:r>
              <w:rPr>
                <w:b/>
                <w:smallCaps/>
                <w:sz w:val="22"/>
              </w:rPr>
              <w:t>General Terms of Transaction:</w:t>
            </w:r>
          </w:p>
        </w:tc>
      </w:tr>
    </w:tbl>
    <w:p>
      <w:pPr>
        <w:pStyle w:val="BodyText"/>
        <w:spacing w:before="0" w:after="0"/>
        <w:rPr>
          <w:sz w:val="22"/>
        </w:rPr>
      </w:pPr>
      <w:r>
        <w:rPr>
          <w:sz w:val="22"/>
        </w:rPr>
      </w:r>
    </w:p>
    <w:p>
      <w:pPr>
        <w:pStyle w:val="Normal"/>
        <w:rPr/>
      </w:pPr>
      <w:r>
        <w:rPr>
          <w:b/>
        </w:rPr>
        <w:t>Term:</w:t>
      </w:r>
      <w:r>
        <w:rPr/>
        <w:t xml:space="preserve"> </w:t>
        <w:tab/>
        <w:tab/>
        <w:tab/>
        <w:t>December 11, 2000 through December 31, 2000.</w:t>
      </w:r>
    </w:p>
    <w:p>
      <w:pPr>
        <w:pStyle w:val="Normal"/>
        <w:rPr/>
      </w:pPr>
      <w:r>
        <w:rPr/>
      </w:r>
    </w:p>
    <w:p>
      <w:pPr>
        <w:pStyle w:val="Normal"/>
        <w:ind w:hanging="2160" w:start="2160" w:end="0"/>
        <w:rPr/>
      </w:pPr>
      <w:r>
        <w:rPr>
          <w:b/>
        </w:rPr>
        <w:t>Quantity:</w:t>
        <w:tab/>
      </w:r>
      <w:r>
        <w:rPr/>
        <w:t xml:space="preserve">Up to 100 MW per day (See Section 2 below). </w:t>
      </w:r>
    </w:p>
    <w:p>
      <w:pPr>
        <w:pStyle w:val="Normal"/>
        <w:rPr>
          <w:b/>
        </w:rPr>
      </w:pPr>
      <w:r>
        <w:rPr>
          <w:b/>
        </w:rPr>
      </w:r>
    </w:p>
    <w:p>
      <w:pPr>
        <w:pStyle w:val="Normal"/>
        <w:ind w:hanging="2160" w:start="2160" w:end="0"/>
        <w:rPr/>
      </w:pPr>
      <w:r>
        <w:rPr>
          <w:b/>
        </w:rPr>
        <w:t>Delivery Point:</w:t>
        <w:tab/>
      </w:r>
      <w:r>
        <w:rPr/>
        <w:t>The Delivery Point for transfers of energy between the Parties in parking transactions hereunder will be at CB’s ATC Zone.</w:t>
      </w:r>
    </w:p>
    <w:p>
      <w:pPr>
        <w:pStyle w:val="Normal"/>
        <w:ind w:hanging="2160" w:start="2160" w:end="0"/>
        <w:rPr>
          <w:b/>
        </w:rPr>
      </w:pPr>
      <w:r>
        <w:rPr>
          <w:b/>
        </w:rPr>
      </w:r>
    </w:p>
    <w:p>
      <w:pPr>
        <w:pStyle w:val="Normal"/>
        <w:ind w:hanging="2160" w:start="2160" w:end="0"/>
        <w:jc w:val="both"/>
        <w:rPr/>
      </w:pPr>
      <w:r>
        <w:rPr>
          <w:b/>
        </w:rPr>
        <w:t>TransactionFormat:</w:t>
        <w:tab/>
      </w:r>
      <w:r>
        <w:rPr>
          <w:bCs/>
        </w:rPr>
        <w:t xml:space="preserve">As to any day during the Term for which a parking transaction shall be effected hereunder, the parties shall execute two transaction confirmations, one representing a sale from EPMI to CB and the other representing a purchase by EPMI from CB, with like commodity, delivery term, quantity, scheduling terms and delivery point, and with the contract price terms reflecting the $4.00 net payment stated in “Energy Pricing” below, provided however, that in the event of conflicting terms, the scheduling terms stated herein shall shall control over those stated in each such confirmation letter.  </w:t>
      </w:r>
    </w:p>
    <w:p>
      <w:pPr>
        <w:pStyle w:val="Normal"/>
        <w:jc w:val="both"/>
        <w:rPr>
          <w:bCs/>
        </w:rPr>
      </w:pPr>
      <w:r>
        <w:rPr>
          <w:bCs/>
        </w:rPr>
      </w:r>
    </w:p>
    <w:p>
      <w:pPr>
        <w:pStyle w:val="Normal"/>
        <w:jc w:val="both"/>
        <w:rPr>
          <w:bCs/>
        </w:rPr>
      </w:pPr>
      <w:r>
        <w:rPr>
          <w:bCs/>
        </w:rPr>
      </w:r>
    </w:p>
    <w:p>
      <w:pPr>
        <w:pStyle w:val="Normal"/>
        <w:ind w:hanging="2160" w:start="2160" w:end="0"/>
        <w:jc w:val="both"/>
        <w:rPr/>
      </w:pPr>
      <w:r>
        <w:rPr>
          <w:b/>
        </w:rPr>
        <w:t>Energy Pricing</w:t>
        <w:tab/>
      </w:r>
      <w:r>
        <w:rPr>
          <w:bCs/>
        </w:rPr>
        <w:t>EPMI shall pay CB a net payment of</w:t>
      </w:r>
      <w:r>
        <w:rPr>
          <w:b/>
        </w:rPr>
        <w:t xml:space="preserve"> </w:t>
      </w:r>
      <w:r>
        <w:rPr/>
        <w:t xml:space="preserve">$4.00 per MWh of energy parked with CB pursuant hereto, representing the difference between the price of energy initially received by CB pursuant to any parking transaction effected pursuant hereto and the price of the associated energy then delivered by CB pursuant hereto for EPMI’s delivery to a third party, </w:t>
      </w:r>
      <w:r>
        <w:rPr>
          <w:i/>
          <w:iCs/>
        </w:rPr>
        <w:t xml:space="preserve">provided that, </w:t>
      </w:r>
      <w:r>
        <w:rPr/>
        <w:t>as to any energy initially delivered by EPMI pursuant hereto and then purchased by CB pursuant to its bid right stated in Section 1 below, or pursuant to Section 7 below in connection with a CB forced outage, then the net payment for the energy subject to the parking transaction so purchased by CB shall be the price negotiated between the parties.</w:t>
      </w:r>
      <w:r>
        <w:rPr>
          <w:b/>
        </w:rPr>
        <w:t xml:space="preserve">   </w:t>
      </w:r>
    </w:p>
    <w:p>
      <w:pPr>
        <w:pStyle w:val="Footer"/>
        <w:tabs>
          <w:tab w:val="clear" w:pos="4320"/>
          <w:tab w:val="clear" w:pos="8640"/>
        </w:tabs>
        <w:rPr>
          <w:b/>
        </w:rPr>
      </w:pPr>
      <w:r>
        <w:rPr>
          <w:b/>
        </w:rPr>
      </w:r>
    </w:p>
    <w:p>
      <w:pPr>
        <w:pStyle w:val="Normal"/>
        <w:ind w:hanging="2160" w:start="2160" w:end="0"/>
        <w:rPr/>
      </w:pPr>
      <w:r>
        <w:rPr>
          <w:b/>
        </w:rPr>
        <w:t>Initial Notice:</w:t>
      </w:r>
      <w:r>
        <w:rPr/>
        <w:tab/>
        <w:t>EPMI shall notify CB of its intent to effect a parking transaction as to any day by 11 AM CPT prior business day.</w:t>
      </w:r>
    </w:p>
    <w:p>
      <w:pPr>
        <w:pStyle w:val="BodyText"/>
        <w:spacing w:before="0" w:after="0"/>
        <w:rPr>
          <w:sz w:val="22"/>
        </w:rPr>
      </w:pPr>
      <w:r>
        <w:rPr>
          <w:sz w:val="22"/>
        </w:rPr>
      </w:r>
    </w:p>
    <w:p>
      <w:pPr>
        <w:pStyle w:val="BodyText"/>
        <w:spacing w:before="0" w:after="0"/>
        <w:rPr>
          <w:sz w:val="22"/>
        </w:rPr>
      </w:pPr>
      <w:r>
        <w:rPr>
          <w:b/>
          <w:sz w:val="22"/>
        </w:rPr>
        <w:t>Scheduling:</w:t>
        <w:tab/>
        <w:tab/>
      </w:r>
      <w:r>
        <w:rPr>
          <w:sz w:val="22"/>
        </w:rPr>
        <w:t xml:space="preserve">EPMI Real Time Operations: </w:t>
      </w:r>
      <w:r>
        <w:rPr>
          <w:sz w:val="22"/>
        </w:rPr>
        <w:fldChar w:fldCharType="begin"/>
      </w:r>
      <w:r>
        <w:rPr>
          <w:sz w:val="22"/>
        </w:rPr>
        <w:instrText xml:space="preserve"> MERGEFIELD EnronTelephone </w:instrText>
      </w:r>
      <w:r>
        <w:rPr>
          <w:sz w:val="22"/>
        </w:rPr>
        <w:fldChar w:fldCharType="separate"/>
      </w:r>
      <w:r>
        <w:rPr>
          <w:sz w:val="22"/>
        </w:rPr>
        <w:t>1 - (800) 349-5527</w:t>
      </w:r>
      <w:r>
        <w:rPr>
          <w:sz w:val="22"/>
        </w:rPr>
        <w:fldChar w:fldCharType="end"/>
      </w:r>
    </w:p>
    <w:p>
      <w:pPr>
        <w:pStyle w:val="BodyText"/>
        <w:spacing w:before="0" w:after="0"/>
        <w:rPr>
          <w:sz w:val="22"/>
        </w:rPr>
      </w:pPr>
      <w:r>
        <w:rPr>
          <w:sz w:val="22"/>
        </w:rPr>
        <w:tab/>
        <w:tab/>
        <w:tab/>
        <w:t>CB Real Time Operations:  1- (979) 821-5841</w:t>
      </w:r>
    </w:p>
    <w:p>
      <w:pPr>
        <w:pStyle w:val="BodyText"/>
        <w:spacing w:before="0" w:after="0"/>
        <w:rPr>
          <w:sz w:val="22"/>
        </w:rPr>
      </w:pPr>
      <w:r>
        <w:rPr>
          <w:sz w:val="22"/>
        </w:rPr>
      </w:r>
    </w:p>
    <w:p>
      <w:pPr>
        <w:pStyle w:val="BodyText"/>
        <w:spacing w:before="0" w:after="0"/>
        <w:ind w:hanging="2160" w:start="2160" w:end="0"/>
        <w:rPr>
          <w:b/>
          <w:sz w:val="22"/>
        </w:rPr>
      </w:pPr>
      <w:r>
        <w:rPr>
          <w:b/>
          <w:sz w:val="22"/>
        </w:rPr>
        <w:t>Other:</w:t>
      </w:r>
    </w:p>
    <w:p>
      <w:pPr>
        <w:pStyle w:val="Footer"/>
        <w:tabs>
          <w:tab w:val="clear" w:pos="4320"/>
          <w:tab w:val="clear" w:pos="8640"/>
        </w:tabs>
        <w:rPr>
          <w:b/>
          <w:sz w:val="22"/>
        </w:rPr>
      </w:pPr>
      <w:r>
        <w:rPr>
          <w:b/>
          <w:sz w:val="22"/>
        </w:rPr>
      </w:r>
    </w:p>
    <w:p>
      <w:pPr>
        <w:pStyle w:val="Footer"/>
        <w:numPr>
          <w:ilvl w:val="0"/>
          <w:numId w:val="7"/>
        </w:numPr>
        <w:tabs>
          <w:tab w:val="clear" w:pos="4320"/>
          <w:tab w:val="clear" w:pos="8640"/>
        </w:tabs>
        <w:jc w:val="both"/>
        <w:rPr>
          <w:sz w:val="22"/>
        </w:rPr>
      </w:pPr>
      <w:r>
        <w:rPr>
          <w:sz w:val="22"/>
        </w:rPr>
        <w:t xml:space="preserve">This parking transaction agreement gives the EPMI the right but not the obligation to schedule energy to and from CB in parking transactions as to individual days within the Term. This parking transaction agreement allows the EPMI to schedule energy to CB on a day-ahead basis and to schedule energy from CB on a day-ahead or same day hourly basis. As to energy parked with CB on a day ahead basis, CB shall have a right to make a competitve bid for purchase from EPMI of all or any hours of such energy (in blocks consistent with Section 2 below). </w:t>
      </w:r>
    </w:p>
    <w:p>
      <w:pPr>
        <w:pStyle w:val="Footer"/>
        <w:tabs>
          <w:tab w:val="clear" w:pos="4320"/>
          <w:tab w:val="clear" w:pos="8640"/>
        </w:tabs>
        <w:jc w:val="both"/>
        <w:rPr>
          <w:sz w:val="22"/>
        </w:rPr>
      </w:pPr>
      <w:r>
        <w:rPr>
          <w:sz w:val="22"/>
        </w:rPr>
      </w:r>
    </w:p>
    <w:p>
      <w:pPr>
        <w:pStyle w:val="Normal"/>
        <w:numPr>
          <w:ilvl w:val="0"/>
          <w:numId w:val="7"/>
        </w:numPr>
        <w:jc w:val="both"/>
        <w:rPr>
          <w:sz w:val="22"/>
        </w:rPr>
      </w:pPr>
      <w:r>
        <w:rPr>
          <w:sz w:val="22"/>
        </w:rPr>
        <w:t>As to each day for which EPMI has given Initial Notice reflecting its intent to effect a parking transaction hereunder, EPMI shall pre-schedule energy to be delivered to CB by 11:00 AM CPT on the previous business day.  The schedule as to any day shall be in 25 MW, 50 MW or 100 MW blocks for each hour, as agreed between the parties. Energy for delivery from CB shall therafter be scheduled day ahead or on an hourly basis.  For hourly deliveries EPMI shall provide an ERCOT Schedule Request no less than 20 minutes prior to the hour of energy flow.  Energy for delivery from CB shall be scheduled in a minimum of 25 MW blocks for each hour.</w:t>
      </w:r>
    </w:p>
    <w:p>
      <w:pPr>
        <w:pStyle w:val="Normal"/>
        <w:jc w:val="both"/>
        <w:rPr>
          <w:sz w:val="22"/>
        </w:rPr>
      </w:pPr>
      <w:r>
        <w:rPr>
          <w:sz w:val="22"/>
        </w:rPr>
        <w:t xml:space="preserve"> </w:t>
      </w:r>
    </w:p>
    <w:p>
      <w:pPr>
        <w:pStyle w:val="Footer"/>
        <w:numPr>
          <w:ilvl w:val="0"/>
          <w:numId w:val="7"/>
        </w:numPr>
        <w:tabs>
          <w:tab w:val="clear" w:pos="4320"/>
          <w:tab w:val="clear" w:pos="8640"/>
        </w:tabs>
        <w:jc w:val="both"/>
        <w:rPr>
          <w:color w:val="000000"/>
          <w:sz w:val="22"/>
        </w:rPr>
      </w:pPr>
      <w:r>
        <w:rPr>
          <w:sz w:val="22"/>
        </w:rPr>
        <w:t>EPMI’s primary intention is for the net schedule to be zero for each hour.</w:t>
      </w:r>
    </w:p>
    <w:p>
      <w:pPr>
        <w:pStyle w:val="Footer"/>
        <w:tabs>
          <w:tab w:val="clear" w:pos="4320"/>
          <w:tab w:val="clear" w:pos="8640"/>
        </w:tabs>
        <w:jc w:val="both"/>
        <w:rPr>
          <w:color w:val="000000"/>
          <w:sz w:val="22"/>
        </w:rPr>
      </w:pPr>
      <w:r>
        <w:rPr>
          <w:color w:val="000000"/>
          <w:sz w:val="22"/>
        </w:rPr>
      </w:r>
    </w:p>
    <w:p>
      <w:pPr>
        <w:pStyle w:val="Footer"/>
        <w:numPr>
          <w:ilvl w:val="0"/>
          <w:numId w:val="7"/>
        </w:numPr>
        <w:tabs>
          <w:tab w:val="clear" w:pos="4320"/>
          <w:tab w:val="clear" w:pos="8640"/>
        </w:tabs>
        <w:jc w:val="both"/>
        <w:rPr>
          <w:sz w:val="22"/>
        </w:rPr>
      </w:pPr>
      <w:r>
        <w:rPr>
          <w:sz w:val="22"/>
        </w:rPr>
        <w:t>CB is not obligated to provide energy from CB for any period when energy associated with this parking transaction agreement has not been received by CB.</w:t>
      </w:r>
    </w:p>
    <w:p>
      <w:pPr>
        <w:pStyle w:val="Footer"/>
        <w:tabs>
          <w:tab w:val="clear" w:pos="4320"/>
          <w:tab w:val="clear" w:pos="8640"/>
        </w:tabs>
        <w:jc w:val="both"/>
        <w:rPr>
          <w:sz w:val="22"/>
        </w:rPr>
      </w:pPr>
      <w:r>
        <w:rPr>
          <w:sz w:val="22"/>
        </w:rPr>
      </w:r>
    </w:p>
    <w:p>
      <w:pPr>
        <w:pStyle w:val="Footer"/>
        <w:numPr>
          <w:ilvl w:val="0"/>
          <w:numId w:val="7"/>
        </w:numPr>
        <w:tabs>
          <w:tab w:val="clear" w:pos="4320"/>
          <w:tab w:val="clear" w:pos="8640"/>
        </w:tabs>
        <w:jc w:val="both"/>
        <w:rPr>
          <w:bCs/>
          <w:sz w:val="22"/>
        </w:rPr>
      </w:pPr>
      <w:r>
        <w:rPr>
          <w:sz w:val="22"/>
        </w:rPr>
        <w:t>The type of transaction (ERCOT Classification type B, C, D, G) received and delivered by CB with any parking transaction hereunder shall be consistent, provided that CB is not obligated to deliver type “B” and when CB receives type “B” from EPMI, CB shall deliver type “C”.</w:t>
      </w:r>
    </w:p>
    <w:p>
      <w:pPr>
        <w:pStyle w:val="BodyTextIndent"/>
        <w:numPr>
          <w:ilvl w:val="0"/>
          <w:numId w:val="7"/>
        </w:numPr>
        <w:rPr>
          <w:b w:val="false"/>
          <w:bCs/>
          <w:sz w:val="22"/>
        </w:rPr>
      </w:pPr>
      <w:r>
        <w:rPr>
          <w:b w:val="false"/>
          <w:bCs/>
          <w:sz w:val="22"/>
        </w:rPr>
        <w:t>This Confirmation Areement and the individual parking transactions herunder are subject to the general terms and conditions contained in Annex A attached hereto, which is made a part hereof and incorporated herein by reference.</w:t>
      </w:r>
    </w:p>
    <w:p>
      <w:pPr>
        <w:pStyle w:val="BodyTextIndent"/>
        <w:numPr>
          <w:ilvl w:val="0"/>
          <w:numId w:val="7"/>
        </w:numPr>
        <w:rPr>
          <w:b w:val="false"/>
          <w:bCs/>
          <w:sz w:val="22"/>
        </w:rPr>
      </w:pPr>
      <w:r>
        <w:rPr>
          <w:b w:val="false"/>
          <w:bCs/>
          <w:sz w:val="22"/>
        </w:rPr>
        <w:t>In the event that CB has to curtail deliveries to its native load customers as a result of a CB forced outage, and CB cannot import energy, CB shall have a right of first refusal to purchase from EPMI any energy held by CB under a parking transaction at a market price quoted by EPMI.</w:t>
      </w:r>
    </w:p>
    <w:p>
      <w:pPr>
        <w:pStyle w:val="BodyTextIndent"/>
        <w:numPr>
          <w:ilvl w:val="0"/>
          <w:numId w:val="7"/>
        </w:numPr>
        <w:rPr>
          <w:b w:val="false"/>
          <w:bCs/>
          <w:sz w:val="22"/>
        </w:rPr>
      </w:pPr>
      <w:r>
        <w:rPr>
          <w:b w:val="false"/>
          <w:bCs/>
          <w:color w:val="000000"/>
          <w:sz w:val="22"/>
        </w:rPr>
        <w:t xml:space="preserve">CB and EPMI each represent and warrant to the opposite party that it has the right, power and authority to enter into this parking transaction agreement and effect any subsequent parking transactions hereunder during the Term hereof. </w:t>
      </w:r>
    </w:p>
    <w:p>
      <w:pPr>
        <w:pStyle w:val="BodyTextIndent"/>
        <w:numPr>
          <w:ilvl w:val="0"/>
          <w:numId w:val="7"/>
        </w:numPr>
        <w:rPr>
          <w:b w:val="false"/>
          <w:bCs/>
          <w:sz w:val="22"/>
        </w:rPr>
      </w:pPr>
      <w:r>
        <w:rPr>
          <w:b w:val="false"/>
          <w:bCs/>
          <w:sz w:val="22"/>
        </w:rPr>
        <w:t xml:space="preserve">      </w:t>
      </w:r>
      <w:r>
        <w:rPr>
          <w:b w:val="false"/>
          <w:bCs/>
          <w:sz w:val="22"/>
        </w:rPr>
        <w:t xml:space="preserve">A. </w:t>
        <w:tab/>
        <w:t>Parking-EPMI's Failure.  If EPMI fails, by the 20 minute</w:t>
      </w:r>
      <w:r>
        <w:rPr>
          <w:sz w:val="22"/>
        </w:rPr>
        <w:t xml:space="preserve"> </w:t>
      </w:r>
      <w:r>
        <w:rPr>
          <w:b w:val="false"/>
          <w:bCs/>
          <w:sz w:val="22"/>
        </w:rPr>
        <w:t xml:space="preserve">deadline, to schedule, or schedules and fails to take, energy redeliveries from CB to EPMI during a parking transaction, CB shall purchase such energy for the following hour, at a price equal to CB's applicable system decremental cost, less ___%, and EPMI shall pay all applicable inadvertent or energy imbalance charges incurred by CB as a result (with a credit for any costs avoided by CB as to energy which CB did not therefore have to purchase or generate); provided, that CB must exert its best reasonable efforts to mitigate any such charges. </w:t>
      </w:r>
    </w:p>
    <w:p>
      <w:pPr>
        <w:pStyle w:val="BodyTextIndent"/>
        <w:numPr>
          <w:ilvl w:val="0"/>
          <w:numId w:val="2"/>
        </w:numPr>
        <w:tabs>
          <w:tab w:val="left" w:pos="360" w:leader="none"/>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360" w:start="360" w:end="0"/>
        <w:rPr>
          <w:b w:val="false"/>
          <w:bCs/>
          <w:sz w:val="22"/>
        </w:rPr>
      </w:pPr>
      <w:r>
        <w:rPr>
          <w:b w:val="false"/>
          <w:bCs/>
          <w:sz w:val="22"/>
        </w:rPr>
        <w:t>Parking-CB's Failure. If CB fails to redeliver energy to EPMI, in accordance with the schedule, during a parking transaction, CB shall reimburse to EPMI the costs incurred by EPMI (i) for inadvertent and imbalance energy charges, if any, and (ii) to obtain replacement energy from another source (including transmission costs and reasonable brokerage fees); provided, that EPMI must exert its best reasonable efforts to mitigate any such costs.</w:t>
      </w:r>
    </w:p>
    <w:p>
      <w:pPr>
        <w:pStyle w:val="BodyTextIndent"/>
        <w:tabs>
          <w:tab w:val="clear" w:pos="2160"/>
          <w:tab w:val="clear" w:pos="5040"/>
          <w:tab w:val="left" w:pos="720" w:leader="none"/>
          <w:tab w:val="left" w:pos="14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start="360" w:end="0"/>
        <w:rPr>
          <w:sz w:val="22"/>
        </w:rPr>
      </w:pPr>
      <w:r>
        <w:rPr>
          <w:b w:val="false"/>
          <w:bCs/>
          <w:sz w:val="22"/>
        </w:rPr>
        <w:tab/>
        <w:t>C.</w:t>
        <w:tab/>
        <w:t>The Parties agree that the foregoing provisions provide the sole and exclusive remedies in the event that either Party fails to perform its obligations in a parking transaction.</w:t>
      </w:r>
    </w:p>
    <w:p>
      <w:pPr>
        <w:pStyle w:val="BodyTextIndent"/>
        <w:keepNext w:val="true"/>
        <w:tabs>
          <w:tab w:val="clear" w:pos="720"/>
          <w:tab w:val="clear" w:pos="1440"/>
          <w:tab w:val="clear" w:pos="216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ind w:hanging="0" w:end="0"/>
        <w:rPr/>
      </w:pPr>
      <w:r>
        <w:rPr>
          <w:sz w:val="22"/>
        </w:rPr>
        <w:t xml:space="preserve">Please confirm that this Confirmation correctly sets forth the terms of the Transaction that we have entered into by returning an executed copy of this letter by facsimile to </w:t>
      </w:r>
      <w:r>
        <w:rPr>
          <w:sz w:val="22"/>
        </w:rPr>
        <w:fldChar w:fldCharType="begin"/>
      </w:r>
      <w:r>
        <w:rPr>
          <w:sz w:val="22"/>
        </w:rPr>
        <w:instrText xml:space="preserve"> MERGEFIELD EnronEntityCode </w:instrText>
      </w:r>
      <w:r>
        <w:rPr>
          <w:sz w:val="22"/>
        </w:rPr>
        <w:fldChar w:fldCharType="separate"/>
      </w:r>
      <w:r>
        <w:rPr>
          <w:sz w:val="22"/>
        </w:rPr>
        <w:t>EPMI</w:t>
      </w:r>
      <w:r>
        <w:rPr>
          <w:sz w:val="22"/>
        </w:rPr>
        <w:fldChar w:fldCharType="end"/>
      </w:r>
      <w:r>
        <w:rPr>
          <w:sz w:val="22"/>
        </w:rPr>
        <w:t xml:space="preserve"> at </w:t>
      </w:r>
      <w:r>
        <w:rPr>
          <w:sz w:val="22"/>
        </w:rPr>
        <w:fldChar w:fldCharType="begin"/>
      </w:r>
      <w:r>
        <w:rPr>
          <w:sz w:val="22"/>
        </w:rPr>
        <w:instrText xml:space="preserve"> MERGEFIELD EnronFax </w:instrText>
      </w:r>
      <w:r>
        <w:rPr>
          <w:sz w:val="22"/>
        </w:rPr>
        <w:fldChar w:fldCharType="separate"/>
      </w:r>
      <w:r>
        <w:rPr>
          <w:sz w:val="22"/>
        </w:rPr>
        <w:t>(713) 646-2491</w:t>
      </w:r>
      <w:r>
        <w:rPr>
          <w:sz w:val="22"/>
        </w:rPr>
        <w:fldChar w:fldCharType="end"/>
      </w:r>
      <w:r>
        <w:rPr/>
        <w:t xml:space="preserve"> within two Business Days after your receipt of this Confirmation.  If you fail to so reply within such time period, the terms hereof will constitute binding and conclusive evidence of the Transaction.  Your response should reflect the appropriate Party in your organization who has the authority to enter into this Confirmation. If you have any questions please call (713) 853-1886.  We look forward to receiving your prompt reply.</w:t>
      </w:r>
    </w:p>
    <w:tbl>
      <w:tblPr>
        <w:tblW w:w="10458" w:type="dxa"/>
        <w:jc w:val="start"/>
        <w:tblInd w:w="0" w:type="dxa"/>
        <w:tblLayout w:type="fixed"/>
        <w:tblCellMar>
          <w:top w:w="0" w:type="dxa"/>
          <w:start w:w="108" w:type="dxa"/>
          <w:bottom w:w="0" w:type="dxa"/>
          <w:end w:w="108" w:type="dxa"/>
        </w:tblCellMar>
      </w:tblPr>
      <w:tblGrid>
        <w:gridCol w:w="5058"/>
        <w:gridCol w:w="5400"/>
      </w:tblGrid>
      <w:tr>
        <w:trPr/>
        <w:tc>
          <w:tcPr>
            <w:tcW w:w="5058" w:type="dxa"/>
            <w:tcBorders/>
          </w:tcPr>
          <w:p>
            <w:pPr>
              <w:pStyle w:val="Normal"/>
              <w:keepNext w:val="true"/>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360" w:after="0"/>
              <w:jc w:val="both"/>
              <w:rPr>
                <w:b/>
                <w:smallCaps/>
                <w:sz w:val="22"/>
              </w:rPr>
            </w:pPr>
            <w:r>
              <w:rPr>
                <w:b/>
                <w:smallCaps/>
                <w:sz w:val="22"/>
              </w:rPr>
              <w:t xml:space="preserve">City of </w:t>
            </w:r>
            <w:r>
              <w:rPr>
                <w:b/>
                <w:smallCaps/>
                <w:sz w:val="22"/>
              </w:rPr>
              <w:fldChar w:fldCharType="begin"/>
            </w:r>
            <w:r>
              <w:rPr>
                <w:smallCaps/>
                <w:sz w:val="22"/>
                <w:b/>
              </w:rPr>
              <w:instrText xml:space="preserve"> MERGEFIELD CounterpartyName </w:instrText>
            </w:r>
            <w:r>
              <w:rPr>
                <w:smallCaps/>
                <w:sz w:val="22"/>
                <w:b/>
              </w:rPr>
              <w:fldChar w:fldCharType="separate"/>
            </w:r>
            <w:r>
              <w:rPr>
                <w:smallCaps/>
                <w:sz w:val="22"/>
                <w:b/>
              </w:rPr>
              <w:t>Bryan</w:t>
            </w:r>
            <w:r>
              <w:rPr>
                <w:smallCaps/>
                <w:sz w:val="22"/>
                <w:b/>
              </w:rPr>
              <w:fldChar w:fldCharType="end"/>
            </w:r>
          </w:p>
        </w:tc>
        <w:tc>
          <w:tcPr>
            <w:tcW w:w="5400" w:type="dxa"/>
            <w:tcBorders/>
          </w:tcPr>
          <w:p>
            <w:pPr>
              <w:pStyle w:val="Normal"/>
              <w:keepNext w:val="true"/>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360" w:after="0"/>
              <w:jc w:val="both"/>
              <w:rPr>
                <w:b/>
                <w:smallCaps/>
                <w:sz w:val="22"/>
              </w:rPr>
            </w:pPr>
            <w:r>
              <w:rPr>
                <w:b/>
                <w:smallCaps/>
                <w:sz w:val="22"/>
              </w:rPr>
              <w:fldChar w:fldCharType="begin"/>
            </w:r>
            <w:r>
              <w:rPr>
                <w:smallCaps/>
                <w:sz w:val="22"/>
                <w:b/>
              </w:rPr>
              <w:instrText xml:space="preserve"> MERGEFIELD EnronEntityName </w:instrText>
            </w:r>
            <w:r>
              <w:rPr>
                <w:smallCaps/>
                <w:sz w:val="22"/>
                <w:b/>
              </w:rPr>
              <w:fldChar w:fldCharType="separate"/>
            </w:r>
            <w:r>
              <w:rPr>
                <w:smallCaps/>
                <w:sz w:val="22"/>
                <w:b/>
              </w:rPr>
              <w:t>Enron Power Marketing, Inc.</w:t>
            </w:r>
            <w:r>
              <w:rPr>
                <w:smallCaps/>
                <w:sz w:val="22"/>
                <w:b/>
              </w:rPr>
              <w:fldChar w:fldCharType="end"/>
            </w:r>
          </w:p>
        </w:tc>
      </w:tr>
      <w:tr>
        <w:trPr/>
        <w:tc>
          <w:tcPr>
            <w:tcW w:w="5058" w:type="dxa"/>
            <w:tcBorders/>
          </w:tcPr>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napToGrid w:val="false"/>
              <w:rPr>
                <w:b/>
                <w:smallCaps/>
                <w:sz w:val="22"/>
              </w:rPr>
            </w:pPr>
            <w:r>
              <w:rPr>
                <w:b/>
                <w:smallCaps/>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By:  _______________________________</w:t>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Name:  _____________________________</w:t>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Title:  ______________________________</w:t>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Date:  ______________________________</w:t>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b/>
                <w:sz w:val="22"/>
              </w:rPr>
            </w:pPr>
            <w:r>
              <w:rPr>
                <w:b/>
                <w:sz w:val="22"/>
              </w:rPr>
            </w:r>
          </w:p>
        </w:tc>
        <w:tc>
          <w:tcPr>
            <w:tcW w:w="5400" w:type="dxa"/>
            <w:tcBorders/>
          </w:tcPr>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600" w:after="0"/>
              <w:jc w:val="both"/>
              <w:rPr>
                <w:sz w:val="22"/>
              </w:rPr>
            </w:pPr>
            <w:r>
              <w:rPr>
                <w:sz w:val="22"/>
              </w:rPr>
              <w:t xml:space="preserve">By:  </w:t>
            </w:r>
            <w:r>
              <w:rPr>
                <w:sz w:val="22"/>
                <w:u w:val="single"/>
              </w:rPr>
              <w:tab/>
            </w:r>
          </w:p>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Name:  </w:t>
            </w:r>
            <w:r>
              <w:rPr>
                <w:sz w:val="22"/>
                <w:u w:val="single"/>
              </w:rPr>
              <w:fldChar w:fldCharType="begin"/>
            </w:r>
            <w:r>
              <w:rPr>
                <w:sz w:val="22"/>
                <w:u w:val="single"/>
              </w:rPr>
              <w:instrText xml:space="preserve"> MERGEFIELD Signature </w:instrText>
            </w:r>
            <w:r>
              <w:rPr>
                <w:sz w:val="22"/>
                <w:u w:val="single"/>
              </w:rPr>
              <w:fldChar w:fldCharType="separate"/>
            </w:r>
            <w:r>
              <w:rPr>
                <w:sz w:val="22"/>
                <w:u w:val="single"/>
              </w:rPr>
              <w:t>Rogers Herndon</w:t>
            </w:r>
            <w:r>
              <w:rPr>
                <w:sz w:val="22"/>
                <w:u w:val="single"/>
              </w:rPr>
              <w:fldChar w:fldCharType="end"/>
            </w:r>
            <w:r>
              <w:rPr>
                <w:sz w:val="22"/>
                <w:u w:val="single"/>
              </w:rPr>
              <w:tab/>
            </w:r>
          </w:p>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Title:   </w:t>
            </w:r>
            <w:r>
              <w:rPr>
                <w:sz w:val="22"/>
                <w:u w:val="single"/>
              </w:rPr>
              <w:fldChar w:fldCharType="begin"/>
            </w:r>
            <w:r>
              <w:rPr>
                <w:sz w:val="22"/>
                <w:u w:val="single"/>
              </w:rPr>
              <w:instrText xml:space="preserve"> MERGEFIELD SignatureTitle </w:instrText>
            </w:r>
            <w:r>
              <w:rPr>
                <w:sz w:val="22"/>
                <w:u w:val="single"/>
              </w:rPr>
              <w:fldChar w:fldCharType="separate"/>
            </w:r>
            <w:r>
              <w:rPr>
                <w:sz w:val="22"/>
                <w:u w:val="single"/>
              </w:rPr>
              <w:t>Director, Trading</w:t>
            </w:r>
            <w:r>
              <w:rPr>
                <w:sz w:val="22"/>
                <w:u w:val="single"/>
              </w:rPr>
              <w:fldChar w:fldCharType="end"/>
            </w:r>
            <w:r>
              <w:rPr>
                <w:sz w:val="22"/>
                <w:u w:val="single"/>
              </w:rPr>
              <w:tab/>
            </w:r>
          </w:p>
          <w:p>
            <w:pPr>
              <w:pStyle w:val="Normal"/>
              <w:keepNext w:val="true"/>
              <w:tabs>
                <w:tab w:val="clear" w:pos="720"/>
                <w:tab w:val="left" w:pos="4932"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r>
          </w:p>
          <w:p>
            <w:pPr>
              <w:pStyle w:val="Justified"/>
              <w:keepNext w:val="true"/>
              <w:tabs>
                <w:tab w:val="clear" w:pos="720"/>
                <w:tab w:val="left" w:pos="4932"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0" w:after="0"/>
              <w:rPr>
                <w:sz w:val="22"/>
              </w:rPr>
            </w:pPr>
            <w:r>
              <w:rPr>
                <w:sz w:val="22"/>
              </w:rPr>
            </w:r>
          </w:p>
        </w:tc>
      </w:tr>
      <w:tr>
        <w:trPr/>
        <w:tc>
          <w:tcPr>
            <w:tcW w:w="10458" w:type="dxa"/>
            <w:gridSpan w:val="2"/>
            <w:tcBorders/>
          </w:tcPr>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b/>
                <w:smallCaps/>
                <w:sz w:val="20"/>
              </w:rPr>
              <w:t xml:space="preserve">Counterparty:  After you have confirmed Transaction, please return to </w:t>
            </w:r>
            <w:r>
              <w:rPr>
                <w:b/>
                <w:smallCaps/>
                <w:sz w:val="20"/>
              </w:rPr>
              <w:fldChar w:fldCharType="begin"/>
            </w:r>
            <w:r>
              <w:rPr>
                <w:smallCaps/>
                <w:sz w:val="20"/>
                <w:b/>
              </w:rPr>
              <w:instrText xml:space="preserve"> MERGEFIELD EnronEntityCode </w:instrText>
            </w:r>
            <w:r>
              <w:rPr>
                <w:smallCaps/>
                <w:sz w:val="20"/>
                <w:b/>
              </w:rPr>
              <w:fldChar w:fldCharType="separate"/>
            </w:r>
            <w:r>
              <w:rPr>
                <w:smallCaps/>
                <w:sz w:val="20"/>
                <w:b/>
              </w:rPr>
              <w:t>EPMI</w:t>
            </w:r>
            <w:r>
              <w:rPr>
                <w:smallCaps/>
                <w:sz w:val="20"/>
                <w:b/>
              </w:rPr>
              <w:fldChar w:fldCharType="end"/>
            </w:r>
            <w:r>
              <w:rPr>
                <w:b/>
                <w:smallCaps/>
                <w:sz w:val="20"/>
              </w:rPr>
              <w:t xml:space="preserve"> at </w:t>
            </w:r>
            <w:r>
              <w:rPr>
                <w:b/>
                <w:smallCaps/>
                <w:sz w:val="20"/>
              </w:rPr>
              <w:fldChar w:fldCharType="begin"/>
            </w:r>
            <w:r>
              <w:rPr>
                <w:smallCaps/>
                <w:sz w:val="20"/>
                <w:b/>
              </w:rPr>
              <w:instrText xml:space="preserve"> MERGEFIELD EnronFax </w:instrText>
            </w:r>
            <w:r>
              <w:rPr>
                <w:smallCaps/>
                <w:sz w:val="20"/>
                <w:b/>
              </w:rPr>
              <w:fldChar w:fldCharType="separate"/>
            </w:r>
            <w:r>
              <w:rPr>
                <w:smallCaps/>
                <w:sz w:val="20"/>
                <w:b/>
              </w:rPr>
              <w:t>(713) 646-2491</w:t>
            </w:r>
            <w:r>
              <w:rPr>
                <w:smallCaps/>
                <w:sz w:val="20"/>
                <w:b/>
              </w:rPr>
              <w:fldChar w:fldCharType="end"/>
            </w:r>
            <w:r>
              <w:rPr>
                <w:b/>
                <w:smallCaps/>
                <w:sz w:val="20"/>
              </w:rPr>
              <w:t>.</w:t>
            </w:r>
          </w:p>
        </w:tc>
      </w:tr>
    </w:tbl>
    <w:p>
      <w:pPr>
        <w:pStyle w:val="Justified"/>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0" w:after="0"/>
        <w:rPr/>
      </w:pPr>
      <w:r>
        <w:rPr/>
      </w:r>
    </w:p>
    <w:p>
      <w:pPr>
        <w:pStyle w:val="Heading2"/>
        <w:spacing w:before="0" w:after="0"/>
        <w:ind w:hanging="0" w:start="0"/>
        <w:rPr/>
      </w:pPr>
      <w:r>
        <w:rPr/>
        <w:t>Attachment:</w:t>
        <w:tab/>
      </w:r>
    </w:p>
    <w:p>
      <w:pPr>
        <w:pStyle w:val="Heading2"/>
        <w:spacing w:before="0" w:after="0"/>
        <w:ind w:hanging="0" w:start="0"/>
        <w:rPr/>
      </w:pPr>
      <w:r>
        <w:rPr/>
        <w:tab/>
        <w:t>Annex A – General Terms and Conditions of Confirmation</w:t>
      </w:r>
    </w:p>
    <w:p>
      <w:pPr>
        <w:pStyle w:val="Heading2"/>
        <w:spacing w:before="0" w:after="0"/>
        <w:ind w:hanging="0" w:start="0"/>
        <w:rPr/>
      </w:pPr>
      <w:r>
        <w:rPr/>
      </w:r>
      <w:r>
        <w:br w:type="page"/>
      </w:r>
    </w:p>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tbl>
      <w:tblPr>
        <w:tblW w:w="10158" w:type="dxa"/>
        <w:jc w:val="start"/>
        <w:tblInd w:w="0" w:type="dxa"/>
        <w:tblLayout w:type="fixed"/>
        <w:tblCellMar>
          <w:top w:w="0" w:type="dxa"/>
          <w:start w:w="108" w:type="dxa"/>
          <w:bottom w:w="0" w:type="dxa"/>
          <w:end w:w="108" w:type="dxa"/>
        </w:tblCellMar>
      </w:tblPr>
      <w:tblGrid>
        <w:gridCol w:w="5079"/>
        <w:gridCol w:w="5079"/>
      </w:tblGrid>
      <w:tr>
        <w:trPr/>
        <w:tc>
          <w:tcPr>
            <w:tcW w:w="5079" w:type="dxa"/>
            <w:tcBorders/>
          </w:tcPr>
          <w:p>
            <w:pPr>
              <w:pStyle w:val="Heading2"/>
              <w:tabs>
                <w:tab w:val="clear" w:pos="720"/>
                <w:tab w:val="left" w:pos="1080" w:leader="none"/>
                <w:tab w:val="left" w:pos="10158" w:leader="none"/>
              </w:tabs>
              <w:spacing w:before="120" w:after="0"/>
              <w:ind w:hanging="0" w:start="360" w:end="0"/>
              <w:jc w:val="start"/>
              <w:rPr/>
            </w:pPr>
            <w:r>
              <w:rPr>
                <w:b/>
                <w:sz w:val="20"/>
              </w:rPr>
              <w:t xml:space="preserve">All </w:t>
            </w:r>
            <w:r>
              <w:rPr>
                <w:b/>
                <w:sz w:val="20"/>
                <w:u w:val="single"/>
              </w:rPr>
              <w:t>payments</w:t>
            </w:r>
            <w:r>
              <w:rPr>
                <w:b/>
                <w:sz w:val="20"/>
              </w:rPr>
              <w:t xml:space="preserve"> to </w:t>
            </w:r>
            <w:r>
              <w:rPr>
                <w:b/>
                <w:sz w:val="20"/>
              </w:rPr>
              <w:fldChar w:fldCharType="begin"/>
            </w:r>
            <w:r>
              <w:rPr>
                <w:sz w:val="20"/>
                <w:b/>
              </w:rPr>
              <w:instrText xml:space="preserve"> MERGEFIELD EnronEntityCode </w:instrText>
            </w:r>
            <w:r>
              <w:rPr>
                <w:sz w:val="20"/>
                <w:b/>
              </w:rPr>
              <w:fldChar w:fldCharType="separate"/>
            </w:r>
            <w:r>
              <w:rPr>
                <w:sz w:val="20"/>
                <w:b/>
              </w:rPr>
              <w:t>EPMI</w:t>
            </w:r>
            <w:r>
              <w:rPr>
                <w:sz w:val="20"/>
                <w:b/>
              </w:rPr>
              <w:fldChar w:fldCharType="end"/>
            </w:r>
            <w:r>
              <w:rPr>
                <w:b/>
                <w:sz w:val="20"/>
              </w:rPr>
              <w:t xml:space="preserve"> shall be wire transferred to:</w:t>
            </w:r>
          </w:p>
        </w:tc>
        <w:tc>
          <w:tcPr>
            <w:tcW w:w="5079" w:type="dxa"/>
            <w:tcBorders/>
          </w:tcPr>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b/>
                <w:sz w:val="20"/>
                <w:u w:val="single"/>
              </w:rPr>
            </w:pPr>
            <w:r>
              <w:rPr>
                <w:b/>
                <w:sz w:val="20"/>
              </w:rPr>
              <w:t xml:space="preserve">All </w:t>
            </w:r>
            <w:r>
              <w:rPr>
                <w:b/>
                <w:sz w:val="20"/>
                <w:u w:val="single"/>
              </w:rPr>
              <w:t xml:space="preserve">payments </w:t>
            </w:r>
            <w:r>
              <w:rPr>
                <w:b/>
                <w:sz w:val="20"/>
              </w:rPr>
              <w:t xml:space="preserve">to </w:t>
            </w:r>
            <w:r>
              <w:rPr>
                <w:b/>
                <w:sz w:val="20"/>
              </w:rPr>
              <w:fldChar w:fldCharType="begin"/>
            </w:r>
            <w:r>
              <w:rPr>
                <w:sz w:val="20"/>
                <w:b/>
              </w:rPr>
              <w:instrText xml:space="preserve"> MERGEFIELD CounterpartyName </w:instrText>
            </w:r>
            <w:r>
              <w:rPr>
                <w:sz w:val="20"/>
                <w:b/>
              </w:rPr>
              <w:fldChar w:fldCharType="separate"/>
            </w:r>
            <w:r>
              <w:rPr>
                <w:sz w:val="20"/>
                <w:b/>
              </w:rPr>
              <w:t>Bryan, City Of</w:t>
            </w:r>
            <w:r>
              <w:rPr>
                <w:sz w:val="20"/>
                <w:b/>
              </w:rPr>
              <w:fldChar w:fldCharType="end"/>
            </w:r>
            <w:r>
              <w:rPr>
                <w:b/>
                <w:sz w:val="20"/>
              </w:rPr>
              <w:t xml:space="preserve"> shall be wire transferred to:</w:t>
            </w:r>
          </w:p>
        </w:tc>
      </w:tr>
      <w:tr>
        <w:trPr/>
        <w:tc>
          <w:tcPr>
            <w:tcW w:w="5079" w:type="dxa"/>
            <w:tcBorders/>
          </w:tcPr>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ind w:start="720" w:end="0"/>
              <w:jc w:val="both"/>
              <w:rPr>
                <w:sz w:val="20"/>
              </w:rPr>
            </w:pPr>
            <w:r>
              <w:rPr>
                <w:sz w:val="20"/>
              </w:rPr>
              <w:t>Nations Bank of Texas-Dallas</w:t>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 xml:space="preserve">for </w:t>
            </w:r>
            <w:r>
              <w:rPr>
                <w:sz w:val="20"/>
              </w:rPr>
              <w:fldChar w:fldCharType="begin"/>
            </w:r>
            <w:r>
              <w:rPr>
                <w:sz w:val="20"/>
              </w:rPr>
              <w:instrText xml:space="preserve"> MERGEFIELD EnronEntityName </w:instrText>
            </w:r>
            <w:r>
              <w:rPr>
                <w:sz w:val="20"/>
              </w:rPr>
              <w:fldChar w:fldCharType="separate"/>
            </w:r>
            <w:r>
              <w:rPr>
                <w:sz w:val="20"/>
              </w:rPr>
              <w:t>Enron Power Marketing, Inc.</w:t>
            </w:r>
            <w:r>
              <w:rPr>
                <w:sz w:val="20"/>
              </w:rPr>
              <w:fldChar w:fldCharType="end"/>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ABA Routing No. 111000012</w:t>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Account No. 3750469312</w:t>
            </w:r>
          </w:p>
        </w:tc>
        <w:tc>
          <w:tcPr>
            <w:tcW w:w="5079" w:type="dxa"/>
            <w:tcBorders/>
          </w:tcPr>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21" w:end="0"/>
              <w:jc w:val="both"/>
              <w:rPr>
                <w:sz w:val="20"/>
              </w:rPr>
            </w:pPr>
            <w:r>
              <w:rPr>
                <w:sz w:val="20"/>
              </w:rPr>
              <w:fldChar w:fldCharType="begin"/>
            </w:r>
            <w:r>
              <w:rPr>
                <w:sz w:val="20"/>
              </w:rPr>
              <w:instrText xml:space="preserve"> MERGEFIELD CounterpartyName </w:instrText>
            </w:r>
            <w:r>
              <w:rPr>
                <w:sz w:val="20"/>
              </w:rPr>
              <w:fldChar w:fldCharType="separate"/>
            </w:r>
            <w:r>
              <w:rPr>
                <w:sz w:val="20"/>
              </w:rPr>
              <w:t>Bryan, City Of</w:t>
            </w:r>
            <w:r>
              <w:rPr>
                <w:sz w:val="20"/>
              </w:rPr>
              <w:fldChar w:fldCharType="end"/>
            </w:r>
          </w:p>
          <w:p>
            <w:pPr>
              <w:pStyle w:val="BodyTextIndent3"/>
              <w:keepNext w:val="true"/>
              <w:keepLines/>
              <w:tabs>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0" w:after="0"/>
              <w:ind w:start="317" w:end="0"/>
              <w:rPr>
                <w:u w:val="single"/>
              </w:rPr>
            </w:pPr>
            <w:r>
              <w:rPr>
                <w:u w:val="single"/>
              </w:rPr>
              <w:tab/>
            </w:r>
          </w:p>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tc>
      </w:tr>
      <w:tr>
        <w:trPr/>
        <w:tc>
          <w:tcPr>
            <w:tcW w:w="5079" w:type="dxa"/>
            <w:tcBorders/>
          </w:tcPr>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ind w:start="360" w:end="0"/>
              <w:jc w:val="both"/>
              <w:rPr/>
            </w:pPr>
            <w:r>
              <w:rPr>
                <w:b/>
                <w:sz w:val="20"/>
              </w:rPr>
              <w:t xml:space="preserve">All </w:t>
            </w:r>
            <w:r>
              <w:rPr>
                <w:b/>
                <w:sz w:val="20"/>
                <w:u w:val="single"/>
              </w:rPr>
              <w:t>billings</w:t>
            </w:r>
            <w:r>
              <w:rPr>
                <w:b/>
                <w:sz w:val="20"/>
              </w:rPr>
              <w:t xml:space="preserve"> to </w:t>
            </w:r>
            <w:r>
              <w:rPr>
                <w:b/>
                <w:sz w:val="20"/>
              </w:rPr>
              <w:fldChar w:fldCharType="begin"/>
            </w:r>
            <w:r>
              <w:rPr>
                <w:sz w:val="20"/>
                <w:b/>
              </w:rPr>
              <w:instrText xml:space="preserve"> MERGEFIELD EnronEntityCode </w:instrText>
            </w:r>
            <w:r>
              <w:rPr>
                <w:sz w:val="20"/>
                <w:b/>
              </w:rPr>
              <w:fldChar w:fldCharType="separate"/>
            </w:r>
            <w:r>
              <w:rPr>
                <w:sz w:val="20"/>
                <w:b/>
              </w:rPr>
              <w:t>EPMI</w:t>
            </w:r>
            <w:r>
              <w:rPr>
                <w:sz w:val="20"/>
                <w:b/>
              </w:rPr>
              <w:fldChar w:fldCharType="end"/>
            </w:r>
            <w:r>
              <w:rPr>
                <w:b/>
                <w:sz w:val="20"/>
              </w:rPr>
              <w:t xml:space="preserve"> shall be sent to:</w:t>
            </w:r>
          </w:p>
        </w:tc>
        <w:tc>
          <w:tcPr>
            <w:tcW w:w="5079" w:type="dxa"/>
            <w:tcBorders/>
          </w:tcPr>
          <w:p>
            <w:pPr>
              <w:pStyle w:val="Heading2"/>
              <w:spacing w:before="120" w:after="0"/>
              <w:ind w:hanging="0" w:start="0"/>
              <w:rPr/>
            </w:pPr>
            <w:r>
              <w:rPr>
                <w:b/>
                <w:sz w:val="20"/>
              </w:rPr>
              <w:t xml:space="preserve">All </w:t>
            </w:r>
            <w:r>
              <w:rPr>
                <w:b/>
                <w:sz w:val="20"/>
                <w:u w:val="single"/>
              </w:rPr>
              <w:t>billings</w:t>
            </w:r>
            <w:r>
              <w:rPr>
                <w:b/>
                <w:sz w:val="20"/>
              </w:rPr>
              <w:t xml:space="preserve"> to </w:t>
            </w:r>
            <w:r>
              <w:rPr>
                <w:b/>
                <w:sz w:val="20"/>
              </w:rPr>
              <w:fldChar w:fldCharType="begin"/>
            </w:r>
            <w:r>
              <w:rPr>
                <w:sz w:val="20"/>
                <w:b/>
              </w:rPr>
              <w:instrText xml:space="preserve"> MERGEFIELD CounterpartyName </w:instrText>
            </w:r>
            <w:r>
              <w:rPr>
                <w:sz w:val="20"/>
                <w:b/>
              </w:rPr>
              <w:fldChar w:fldCharType="separate"/>
            </w:r>
            <w:r>
              <w:rPr>
                <w:sz w:val="20"/>
                <w:b/>
              </w:rPr>
              <w:t>Bryan, City Of</w:t>
            </w:r>
            <w:r>
              <w:rPr>
                <w:sz w:val="20"/>
                <w:b/>
              </w:rPr>
              <w:fldChar w:fldCharType="end"/>
            </w:r>
            <w:r>
              <w:rPr>
                <w:b/>
                <w:sz w:val="20"/>
              </w:rPr>
              <w:t xml:space="preserve"> shall be sent to:</w:t>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sz w:val="20"/>
              </w:rPr>
            </w:pPr>
            <w:r>
              <w:rPr>
                <w:sz w:val="20"/>
              </w:rPr>
              <w:fldChar w:fldCharType="begin"/>
            </w:r>
            <w:r>
              <w:rPr>
                <w:sz w:val="20"/>
              </w:rPr>
              <w:instrText xml:space="preserve"> MERGEFIELD EnronEntityName </w:instrText>
            </w:r>
            <w:r>
              <w:rPr>
                <w:sz w:val="20"/>
              </w:rPr>
              <w:fldChar w:fldCharType="separate"/>
            </w:r>
            <w:r>
              <w:rPr>
                <w:sz w:val="20"/>
              </w:rPr>
              <w:t>Enron Power Marketing, Inc.</w:t>
            </w:r>
            <w:r>
              <w:rPr>
                <w:sz w:val="20"/>
              </w:rPr>
              <w:fldChar w:fldCharType="end"/>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1400 Smith Street (77002)</w:t>
            </w:r>
          </w:p>
          <w:p>
            <w:pPr>
              <w:pStyle w:val="Heading1"/>
              <w:tabs>
                <w:tab w:val="clear" w:pos="720"/>
                <w:tab w:val="clear" w:pos="1440"/>
                <w:tab w:val="clear" w:pos="2160"/>
                <w:tab w:val="clear" w:pos="4320"/>
                <w:tab w:val="clear" w:pos="5040"/>
                <w:tab w:val="clear" w:pos="576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hanging="0" w:start="720" w:end="0"/>
              <w:rPr>
                <w:b w:val="false"/>
              </w:rPr>
            </w:pPr>
            <w:r>
              <w:rPr>
                <w:b w:val="false"/>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Houston, Texas  77210-4428</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Attn.: Power Client Services Manager</w:t>
            </w:r>
          </w:p>
        </w:tc>
        <w:tc>
          <w:tcPr>
            <w:tcW w:w="5079" w:type="dxa"/>
            <w:tcBorders/>
          </w:tcPr>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21" w:end="0"/>
              <w:jc w:val="both"/>
              <w:rPr>
                <w:sz w:val="20"/>
              </w:rPr>
            </w:pPr>
            <w:r>
              <w:rPr>
                <w:sz w:val="20"/>
              </w:rPr>
              <w:fldChar w:fldCharType="begin"/>
            </w:r>
            <w:r>
              <w:rPr>
                <w:sz w:val="20"/>
              </w:rPr>
              <w:instrText xml:space="preserve"> MERGEFIELD CounterpartyName </w:instrText>
            </w:r>
            <w:r>
              <w:rPr>
                <w:sz w:val="20"/>
              </w:rPr>
              <w:fldChar w:fldCharType="separate"/>
            </w:r>
            <w:r>
              <w:rPr>
                <w:sz w:val="20"/>
              </w:rPr>
              <w:t>Bryan, City Of</w:t>
            </w:r>
            <w:r>
              <w:rPr>
                <w:sz w:val="20"/>
              </w:rPr>
              <w:fldChar w:fldCharType="end"/>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rPr>
            </w:pPr>
            <w:r>
              <w:rPr>
                <w:sz w:val="20"/>
              </w:rPr>
              <w:t xml:space="preserve">Attn: </w:t>
            </w:r>
            <w:r>
              <w:rPr>
                <w:sz w:val="20"/>
                <w:u w:val="single"/>
              </w:rPr>
              <w:tab/>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60" w:end="0"/>
              <w:jc w:val="both"/>
              <w:rPr/>
            </w:pPr>
            <w:r>
              <w:rPr>
                <w:b/>
                <w:sz w:val="20"/>
              </w:rPr>
              <w:t xml:space="preserve">All </w:t>
            </w:r>
            <w:r>
              <w:rPr>
                <w:b/>
                <w:sz w:val="20"/>
                <w:u w:val="single"/>
              </w:rPr>
              <w:t>notices</w:t>
            </w:r>
            <w:r>
              <w:rPr>
                <w:b/>
                <w:sz w:val="20"/>
              </w:rPr>
              <w:t xml:space="preserve"> to </w:t>
            </w:r>
            <w:r>
              <w:rPr>
                <w:b/>
                <w:sz w:val="20"/>
              </w:rPr>
              <w:fldChar w:fldCharType="begin"/>
            </w:r>
            <w:r>
              <w:rPr>
                <w:sz w:val="20"/>
                <w:b/>
              </w:rPr>
              <w:instrText xml:space="preserve"> MERGEFIELD EnronEntityCode </w:instrText>
            </w:r>
            <w:r>
              <w:rPr>
                <w:sz w:val="20"/>
                <w:b/>
              </w:rPr>
              <w:fldChar w:fldCharType="separate"/>
            </w:r>
            <w:r>
              <w:rPr>
                <w:sz w:val="20"/>
                <w:b/>
              </w:rPr>
              <w:t>EPMI</w:t>
            </w:r>
            <w:r>
              <w:rPr>
                <w:sz w:val="20"/>
                <w:b/>
              </w:rPr>
              <w:fldChar w:fldCharType="end"/>
            </w:r>
            <w:r>
              <w:rPr>
                <w:b/>
                <w:sz w:val="20"/>
              </w:rPr>
              <w:t xml:space="preserve"> shall be sent to</w:t>
            </w:r>
          </w:p>
        </w:tc>
        <w:tc>
          <w:tcPr>
            <w:tcW w:w="5079" w:type="dxa"/>
            <w:tcBorders/>
          </w:tcPr>
          <w:p>
            <w:pPr>
              <w:pStyle w:val="Heading2"/>
              <w:spacing w:before="120" w:after="0"/>
              <w:ind w:hanging="0" w:start="0"/>
              <w:rPr/>
            </w:pPr>
            <w:r>
              <w:rPr>
                <w:b/>
                <w:sz w:val="20"/>
              </w:rPr>
              <w:t xml:space="preserve">All </w:t>
            </w:r>
            <w:r>
              <w:rPr>
                <w:b/>
                <w:sz w:val="20"/>
                <w:u w:val="single"/>
              </w:rPr>
              <w:t xml:space="preserve">notices </w:t>
            </w:r>
            <w:r>
              <w:rPr>
                <w:b/>
                <w:sz w:val="20"/>
              </w:rPr>
              <w:t xml:space="preserve">to </w:t>
            </w:r>
            <w:r>
              <w:rPr>
                <w:b/>
                <w:sz w:val="20"/>
              </w:rPr>
              <w:fldChar w:fldCharType="begin"/>
            </w:r>
            <w:r>
              <w:rPr>
                <w:sz w:val="20"/>
                <w:b/>
              </w:rPr>
              <w:instrText xml:space="preserve"> MERGEFIELD CounterpartyName </w:instrText>
            </w:r>
            <w:r>
              <w:rPr>
                <w:sz w:val="20"/>
                <w:b/>
              </w:rPr>
              <w:fldChar w:fldCharType="separate"/>
            </w:r>
            <w:r>
              <w:rPr>
                <w:sz w:val="20"/>
                <w:b/>
              </w:rPr>
              <w:t>Bryan, City Of</w:t>
            </w:r>
            <w:r>
              <w:rPr>
                <w:sz w:val="20"/>
                <w:b/>
              </w:rPr>
              <w:fldChar w:fldCharType="end"/>
            </w:r>
            <w:r>
              <w:rPr>
                <w:b/>
                <w:sz w:val="20"/>
              </w:rPr>
              <w:t xml:space="preserve"> shall be sent to:</w:t>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sz w:val="20"/>
              </w:rPr>
            </w:pPr>
            <w:r>
              <w:rPr>
                <w:sz w:val="20"/>
              </w:rPr>
              <w:fldChar w:fldCharType="begin"/>
            </w:r>
            <w:r>
              <w:rPr>
                <w:sz w:val="20"/>
              </w:rPr>
              <w:instrText xml:space="preserve"> MERGEFIELD EnronEntityName </w:instrText>
            </w:r>
            <w:r>
              <w:rPr>
                <w:sz w:val="20"/>
              </w:rPr>
              <w:fldChar w:fldCharType="separate"/>
            </w:r>
            <w:r>
              <w:rPr>
                <w:sz w:val="20"/>
              </w:rPr>
              <w:t>Enron Power Marketing, Inc.</w:t>
            </w:r>
            <w:r>
              <w:rPr>
                <w:sz w:val="20"/>
              </w:rPr>
              <w:fldChar w:fldCharType="end"/>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1400 Smith Street (77002)</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Houston, Texas  77210-4428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Attn.: Power Contracts Documentation Manager</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Fax No.  713-646-2443</w:t>
            </w:r>
          </w:p>
        </w:tc>
        <w:tc>
          <w:tcPr>
            <w:tcW w:w="5079" w:type="dxa"/>
            <w:tcBorders/>
          </w:tcPr>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21" w:end="0"/>
              <w:jc w:val="both"/>
              <w:rPr>
                <w:sz w:val="20"/>
              </w:rPr>
            </w:pPr>
            <w:r>
              <w:rPr>
                <w:sz w:val="20"/>
              </w:rPr>
              <w:fldChar w:fldCharType="begin"/>
            </w:r>
            <w:r>
              <w:rPr>
                <w:sz w:val="20"/>
              </w:rPr>
              <w:instrText xml:space="preserve"> MERGEFIELD CounterpartyName </w:instrText>
            </w:r>
            <w:r>
              <w:rPr>
                <w:sz w:val="20"/>
              </w:rPr>
              <w:fldChar w:fldCharType="separate"/>
            </w:r>
            <w:r>
              <w:rPr>
                <w:sz w:val="20"/>
              </w:rPr>
              <w:t>Bryan, City Of</w:t>
            </w:r>
            <w:r>
              <w:rPr>
                <w:sz w:val="20"/>
              </w:rPr>
              <w:fldChar w:fldCharType="end"/>
            </w:r>
          </w:p>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60" w:end="0"/>
              <w:jc w:val="both"/>
              <w:rPr/>
            </w:pPr>
            <w:r>
              <w:rPr>
                <w:b/>
                <w:sz w:val="20"/>
              </w:rPr>
              <w:t xml:space="preserve">With </w:t>
            </w:r>
            <w:r>
              <w:rPr>
                <w:b/>
                <w:sz w:val="20"/>
                <w:u w:val="single"/>
              </w:rPr>
              <w:t>notices</w:t>
            </w:r>
            <w:r>
              <w:rPr>
                <w:b/>
                <w:sz w:val="20"/>
              </w:rPr>
              <w:t xml:space="preserve"> pursuant to Section 5 of Annex A also sent to:</w:t>
            </w:r>
          </w:p>
        </w:tc>
        <w:tc>
          <w:tcPr>
            <w:tcW w:w="5079" w:type="dxa"/>
            <w:tcBorders/>
          </w:tcPr>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napToGrid w:val="false"/>
              <w:spacing w:before="120" w:after="0"/>
              <w:ind w:start="321" w:end="0"/>
              <w:jc w:val="both"/>
              <w:rPr>
                <w:b/>
                <w:sz w:val="20"/>
              </w:rPr>
            </w:pPr>
            <w:r>
              <w:rPr>
                <w:b/>
                <w:sz w:val="20"/>
              </w:rPr>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sz w:val="20"/>
              </w:rPr>
            </w:pPr>
            <w:r>
              <w:rPr>
                <w:sz w:val="20"/>
              </w:rPr>
              <w:fldChar w:fldCharType="begin"/>
            </w:r>
            <w:r>
              <w:rPr>
                <w:sz w:val="20"/>
              </w:rPr>
              <w:instrText xml:space="preserve"> MERGEFIELD EnronEntityName </w:instrText>
            </w:r>
            <w:r>
              <w:rPr>
                <w:sz w:val="20"/>
              </w:rPr>
              <w:fldChar w:fldCharType="separate"/>
            </w:r>
            <w:r>
              <w:rPr>
                <w:sz w:val="20"/>
              </w:rPr>
              <w:t>Enron Power Marketing, Inc.</w:t>
            </w:r>
            <w:r>
              <w:rPr>
                <w:sz w:val="20"/>
              </w:rPr>
              <w:fldChar w:fldCharType="end"/>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1400 Smith Street (77002)</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Houston, Texas  77210-4428</w:t>
            </w:r>
          </w:p>
          <w:p>
            <w:pPr>
              <w:pStyle w:val="Normal"/>
              <w:tabs>
                <w:tab w:val="clear" w:pos="720"/>
                <w:tab w:val="left" w:pos="135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Attn.:</w:t>
              <w:tab/>
              <w:t>Assistant General Counsel</w:t>
            </w:r>
          </w:p>
          <w:p>
            <w:pPr>
              <w:pStyle w:val="Normal"/>
              <w:tabs>
                <w:tab w:val="clear" w:pos="720"/>
                <w:tab w:val="left" w:pos="135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ab/>
              <w:t>Trading Group</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Fax No.  713-646-4818</w:t>
            </w:r>
          </w:p>
        </w:tc>
        <w:tc>
          <w:tcPr>
            <w:tcW w:w="5079" w:type="dxa"/>
            <w:tcBorders/>
          </w:tcPr>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napToGrid w:val="false"/>
              <w:spacing w:before="120" w:after="0"/>
              <w:ind w:start="321" w:end="0"/>
              <w:jc w:val="both"/>
              <w:rPr>
                <w:sz w:val="20"/>
              </w:rPr>
            </w:pPr>
            <w:r>
              <w:rPr>
                <w:sz w:val="20"/>
              </w:rPr>
            </w:r>
          </w:p>
        </w:tc>
      </w:tr>
    </w:tbl>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p>
      <w:pPr>
        <w:pStyle w:val="BodyTextIndent"/>
        <w:rPr>
          <w:smallCaps/>
        </w:rPr>
      </w:pPr>
      <w:r>
        <w:rPr>
          <w:smallCaps/>
        </w:rPr>
        <w:t>Counterparty:  Please confirm or provide the requested information</w:t>
      </w:r>
    </w:p>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mallCaps/>
          <w:sz w:val="20"/>
        </w:rPr>
      </w:pPr>
      <w:r>
        <w:rPr>
          <w:smallCaps/>
          <w:sz w:val="20"/>
        </w:rPr>
      </w:r>
    </w:p>
    <w:p>
      <w:pPr>
        <w:sectPr>
          <w:headerReference w:type="default" r:id="rId3"/>
          <w:headerReference w:type="first" r:id="rId4"/>
          <w:footerReference w:type="default" r:id="rId5"/>
          <w:footerReference w:type="first" r:id="rId6"/>
          <w:type w:val="nextPage"/>
          <w:pgSz w:w="12200" w:h="15840"/>
          <w:pgMar w:left="1152" w:right="1094" w:gutter="0" w:header="720" w:top="864" w:footer="720" w:bottom="864"/>
          <w:pgNumType w:fmt="decimal"/>
          <w:formProt w:val="false"/>
          <w:titlePg/>
          <w:textDirection w:val="lrTb"/>
          <w:docGrid w:type="default" w:linePitch="360" w:charSpace="0"/>
        </w:sect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p>
      <w:pPr>
        <w:pStyle w:val="Heading2"/>
        <w:spacing w:before="0" w:after="240"/>
        <w:ind w:hanging="0" w:start="0"/>
        <w:jc w:val="center"/>
        <w:rPr>
          <w:rFonts w:ascii="Arial Narrow" w:hAnsi="Arial Narrow" w:cs="Arial Narrow"/>
          <w:b/>
          <w:smallCaps/>
          <w:sz w:val="20"/>
          <w:u w:val="single"/>
        </w:rPr>
      </w:pPr>
      <w:r>
        <w:rPr>
          <w:rFonts w:cs="Arial Narrow" w:ascii="Arial Narrow" w:hAnsi="Arial Narrow"/>
          <w:b/>
          <w:smallCaps/>
          <w:sz w:val="20"/>
          <w:u w:val="single"/>
        </w:rPr>
        <w:t>Annex A</w:t>
      </w:r>
    </w:p>
    <w:p>
      <w:pPr>
        <w:pStyle w:val="Heading2"/>
        <w:spacing w:before="0" w:after="240"/>
        <w:ind w:hanging="0" w:start="0"/>
        <w:jc w:val="center"/>
        <w:rPr>
          <w:rFonts w:ascii="Arial Narrow" w:hAnsi="Arial Narrow" w:cs="Arial Narrow"/>
          <w:b/>
          <w:smallCaps/>
          <w:sz w:val="20"/>
        </w:rPr>
      </w:pPr>
      <w:r>
        <w:rPr>
          <w:rFonts w:cs="Arial Narrow" w:ascii="Arial Narrow" w:hAnsi="Arial Narrow"/>
          <w:b/>
          <w:smallCaps/>
          <w:sz w:val="20"/>
        </w:rPr>
        <w:t>General Terms and Conditions of Confirmation</w:t>
      </w:r>
    </w:p>
    <w:p>
      <w:pPr>
        <w:sectPr>
          <w:headerReference w:type="default" r:id="rId7"/>
          <w:headerReference w:type="first" r:id="rId8"/>
          <w:footerReference w:type="default" r:id="rId9"/>
          <w:footerReference w:type="first" r:id="rId10"/>
          <w:type w:val="nextPage"/>
          <w:pgSz w:w="12200" w:h="15840"/>
          <w:pgMar w:left="1152" w:right="1095" w:gutter="0" w:header="720" w:top="864" w:footer="720" w:bottom="864"/>
          <w:pgNumType w:start="1" w:fmt="decimal"/>
          <w:formProt w:val="false"/>
          <w:textDirection w:val="lrTb"/>
          <w:docGrid w:type="default" w:linePitch="360" w:charSpace="0"/>
        </w:sectPr>
      </w:pPr>
    </w:p>
    <w:p>
      <w:pPr>
        <w:pStyle w:val="BodyText3"/>
        <w:jc w:val="both"/>
        <w:rPr/>
      </w:pPr>
      <w:r>
        <w:rPr/>
        <w:t>This Annex A supplements, forms part of, and is incorporated into the Confirmation Letter to which this Annex A is attached.  Until a Master Agreement is executed by the Parties, this Annex A will govern all Physically Settled Power Transactions except as otherwise expressly agreed to by the Parties.</w:t>
      </w:r>
    </w:p>
    <w:p>
      <w:pPr>
        <w:pStyle w:val="Heading2"/>
        <w:numPr>
          <w:ilvl w:val="0"/>
          <w:numId w:val="3"/>
        </w:numPr>
        <w:tabs>
          <w:tab w:val="clear" w:pos="720"/>
          <w:tab w:val="left" w:pos="270" w:leader="none"/>
        </w:tabs>
        <w:spacing w:before="0" w:after="0"/>
        <w:ind w:hanging="0" w:start="0" w:end="0"/>
        <w:rPr>
          <w:rFonts w:ascii="Arial Narrow" w:hAnsi="Arial Narrow" w:cs="Arial Narrow"/>
          <w:sz w:val="20"/>
        </w:rPr>
      </w:pPr>
      <w:r>
        <w:rPr>
          <w:rFonts w:cs="Arial Narrow" w:ascii="Arial Narrow" w:hAnsi="Arial Narrow"/>
          <w:b/>
          <w:sz w:val="20"/>
          <w:u w:val="single"/>
        </w:rPr>
        <w:t>Transactions.</w:t>
      </w:r>
      <w:r>
        <w:rPr>
          <w:rFonts w:cs="Arial Narrow" w:ascii="Arial Narrow" w:hAnsi="Arial Narrow"/>
          <w:sz w:val="20"/>
        </w:rPr>
        <w:t xml:space="preserve">  From time to time, the parties may engage in transactions relating to the purchase and sale of Energy.  Such transactions shall be formed in a telephone conversation (which conversation may be recorded) whereby an offer and acceptance shall constitute the agreement of the Parties, subject to this Annex A.  All such transactions shall be considered a master agreement governed by this Annex A. The Parties agree not to contest or assert a defense to the validity or enforceability of telephonic transactions under laws relating to whether certain agreements are to be in writing or signed by the Party to be bound thereby or the authority of any employee of such Party.</w:t>
      </w:r>
    </w:p>
    <w:p>
      <w:pPr>
        <w:pStyle w:val="Heading2"/>
        <w:numPr>
          <w:ilvl w:val="0"/>
          <w:numId w:val="3"/>
        </w:numPr>
        <w:tabs>
          <w:tab w:val="clear" w:pos="720"/>
          <w:tab w:val="left" w:pos="270" w:leader="none"/>
        </w:tabs>
        <w:spacing w:before="0" w:after="0"/>
        <w:ind w:hanging="0" w:start="0" w:end="0"/>
        <w:rPr>
          <w:rFonts w:ascii="Arial Narrow" w:hAnsi="Arial Narrow" w:cs="Arial Narrow"/>
          <w:sz w:val="20"/>
        </w:rPr>
      </w:pPr>
      <w:r>
        <w:rPr>
          <w:rFonts w:cs="Arial Narrow" w:ascii="Arial Narrow" w:hAnsi="Arial Narrow"/>
          <w:b/>
          <w:sz w:val="20"/>
          <w:u w:val="single"/>
        </w:rPr>
        <w:t>Performance Obligations.</w:t>
      </w:r>
      <w:r>
        <w:rPr>
          <w:rFonts w:cs="Arial Narrow" w:ascii="Arial Narrow" w:hAnsi="Arial Narrow"/>
          <w:sz w:val="20"/>
        </w:rPr>
        <w:t xml:space="preserve">  Seller shall sell and deliver, or cause to be delivered, and Buyer shall purchase and receive, or cause to be received, at the Delivery Point the Contract Quantity, and Buyer shall pay Seller the Contract Price; provided, however, with respect to Options, the obligations set forth in the preceding sentence shall only arise if Buyer properly exercises its Option.  The Contract Price is inclusive of any and all costs incurred by Seller and shall not be adjusted.  Seller shall be responsible for any costs or charges imposed on or associated with the delivery of the Contract Quantity, including, without limitation, control area services, inadvertent energy flows, transmission losses and loss charges relating to the transmission of the Contract Quantity, up to the Delivery Point.  Buyer shall be responsible for any costs or charges imposed on or associated with the Contract Quantity, including, without limitation, control area services, inadvertent energy flows, transmission losses and loss charges relating to the transmission of the Contract Quantity, at and from the Delivery Point.  Title to and risk of loss related to the Contract Quantity shall transfer from Seller to Buyer at the Delivery Point.  Seller and Buyer shall each indemnify, defend and hold harmless the other Party from any claims arising from any act or incident occurring when title to the energy is vested in the indemnifying Party.</w:t>
      </w:r>
    </w:p>
    <w:p>
      <w:pPr>
        <w:pStyle w:val="Heading2"/>
        <w:numPr>
          <w:ilvl w:val="0"/>
          <w:numId w:val="3"/>
        </w:numPr>
        <w:tabs>
          <w:tab w:val="clear" w:pos="720"/>
          <w:tab w:val="left" w:pos="270" w:leader="none"/>
        </w:tabs>
        <w:spacing w:before="0" w:after="0"/>
        <w:ind w:hanging="0" w:start="0" w:end="0"/>
        <w:rPr>
          <w:rFonts w:ascii="Arial Narrow" w:hAnsi="Arial Narrow" w:cs="Arial Narrow"/>
          <w:sz w:val="20"/>
        </w:rPr>
      </w:pPr>
      <w:r>
        <w:rPr>
          <w:rFonts w:cs="Arial Narrow" w:ascii="Arial Narrow" w:hAnsi="Arial Narrow"/>
          <w:b/>
          <w:sz w:val="20"/>
          <w:u w:val="single"/>
        </w:rPr>
        <w:t>Liquidated Damages</w:t>
      </w:r>
      <w:r>
        <w:rPr>
          <w:rFonts w:cs="Arial Narrow" w:ascii="Arial Narrow" w:hAnsi="Arial Narrow"/>
          <w:sz w:val="20"/>
          <w:u w:val="single"/>
        </w:rPr>
        <w:t>.</w:t>
      </w:r>
      <w:r>
        <w:rPr>
          <w:rFonts w:cs="Arial Narrow" w:ascii="Arial Narrow" w:hAnsi="Arial Narrow"/>
          <w:sz w:val="20"/>
        </w:rPr>
        <w:t xml:space="preserve">  Unless excused by Force Majeure or Buyer’s failure to perform, if Seller fails to schedule and/or deliver all or part of the Contract Quantity it is required to deliver to Buyer, Seller shall pay Buyer an amount for each unit of Energy in such deficiency equal to the positive difference, if any, obtained by subtracting the Contract Price from the Replacement Price.  Unless excused by Force Majeure or Seller’s failure to perform, if Buyer fails to schedule and/or receive all or part of the Contract Quantity it is required to receive from Seller, Buyer shall pay Seller an amount for each unit of Energy in such deficiency equal to the positive difference, if any, obtained by subtracting the Sales Price from the Contract Price, plus additional costs reasonably incurred by Seller in reselling such Energy not received by Buyer, including additional transmission charges, if any.  Amounts payable pursuant to this Section shall be payable on or before 3 Business Days after receipt of an invoice from the Party claiming payment pursuant to this Section.  Unless otherwise provided in the Confirmation, the payment obligations set forth in this Section shall apply only to a Transaction that is designated as "firm" or otherwise subject to "liquidated damages."  Unless otherwise agreed to by the Parties, in the event that one Party, for any reason, fails to initiate or continue its purchase or sale of Energy pursuant to a Transaction that is designated as "non-firm" (other than a Transaction designated as "non-firm with liquidated damages"), such Party shall have no obligation or liability to the other Party with respect to such failure.  The remedy set forth in this Section shall be the sole and exclusive remedy of the aggrieved Party for the failure to schedule or deliver or receive the Contract Quantity of Energy which is designated as "firm" or otherwise subject to liquidated damages and all other damages are waived.  </w:t>
      </w:r>
    </w:p>
    <w:p>
      <w:pPr>
        <w:pStyle w:val="Heading2"/>
        <w:numPr>
          <w:ilvl w:val="0"/>
          <w:numId w:val="3"/>
        </w:numPr>
        <w:tabs>
          <w:tab w:val="clear" w:pos="720"/>
          <w:tab w:val="left" w:pos="270" w:leader="none"/>
        </w:tabs>
        <w:spacing w:before="0" w:after="0"/>
        <w:ind w:hanging="0" w:start="0" w:end="0"/>
        <w:rPr>
          <w:rFonts w:ascii="Arial Narrow" w:hAnsi="Arial Narrow" w:cs="Arial Narrow"/>
          <w:sz w:val="20"/>
        </w:rPr>
      </w:pPr>
      <w:r>
        <w:rPr>
          <w:rFonts w:cs="Arial Narrow" w:ascii="Arial Narrow" w:hAnsi="Arial Narrow"/>
          <w:b/>
          <w:sz w:val="20"/>
          <w:u w:val="single"/>
        </w:rPr>
        <w:t>Force Majeure</w:t>
      </w:r>
      <w:r>
        <w:rPr>
          <w:rFonts w:cs="Arial Narrow" w:ascii="Arial Narrow" w:hAnsi="Arial Narrow"/>
          <w:sz w:val="20"/>
        </w:rPr>
        <w:t>.  If either Party is rendered unable by a Force Majeure to carry out, in whole or part, its obligations under this Confirmation and such Party gives notice and full details of the event to the other Party as soon as practicable,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provided, however, Buyer shall be obligated to pay demand charges, if any, with respect to this Confirmation notwithstanding the Force Majeure.  The Party affected by the Force Majeure shall remedy the Force Majeure with all reasonable dispatch; provided, however, that this provision shall not require Seller to deliver, or Buyer to receive, the Contract Quantity at points other than the Delivery Point.  The Party claiming Force Majeure (the "Claiming Party") shall provide the non-claiming Party notice of the Claiming Party's best estimate of the duration of the Force Majeure ("Estimated Duration").  During the Estimated Duration, the non-claiming Party shall not be required to resume its obligations to the Claiming Party with respect to the part of the Transaction which the Claiming Party has claimed is subject to Force Majeure.  Notwithstanding the foregoing, as soon as all or part of the Force Majeure ceases, the Claiming Party shall notify the non-claiming Party who shall have the option to require the Claiming Party to resume all or part of its obligations under the Transaction prior to the expiration of the Estimated Duration; in all events the Parties shall resume their obligations under the Transaction upon the expiration of the Estimated Duration with respect to all or that part of the Transaction that is no longer subject to the Force Majeure.  If all or part of the Force Majeure continues to exist beyond the Estimated Duration, then the non-claiming Party may take any action it deems commercially reasonable under the circumstances.</w:t>
      </w:r>
    </w:p>
    <w:p>
      <w:pPr>
        <w:pStyle w:val="Heading2"/>
        <w:numPr>
          <w:ilvl w:val="0"/>
          <w:numId w:val="3"/>
        </w:numPr>
        <w:tabs>
          <w:tab w:val="clear" w:pos="720"/>
          <w:tab w:val="left" w:pos="270" w:leader="none"/>
        </w:tabs>
        <w:spacing w:before="0" w:after="0"/>
        <w:ind w:hanging="0" w:start="0" w:end="0"/>
        <w:rPr>
          <w:rFonts w:ascii="Arial Narrow" w:hAnsi="Arial Narrow" w:cs="Arial Narrow"/>
          <w:sz w:val="20"/>
        </w:rPr>
      </w:pPr>
      <w:r>
        <w:rPr/>
        <w:t xml:space="preserve"> </w:t>
      </w:r>
      <w:r>
        <w:rPr>
          <w:rFonts w:cs="Arial Narrow" w:ascii="Arial Narrow" w:hAnsi="Arial Narrow"/>
          <w:b/>
          <w:sz w:val="20"/>
          <w:u w:val="single"/>
        </w:rPr>
        <w:t>Events of Default and Remedies</w:t>
      </w:r>
      <w:r>
        <w:rPr>
          <w:rFonts w:cs="Arial Narrow" w:ascii="Arial Narrow" w:hAnsi="Arial Narrow"/>
          <w:sz w:val="20"/>
        </w:rPr>
        <w:t xml:space="preserve">.  (a) An event of default ("Event of Default") shall mean with respect to a Party ("Defaulting Party") any of the following:  (i) the failure by the Defaulting Party to make, when due, any payment required under this Confirmation or any other Physically Settled Power Transaction if such failure is not remedied within 3 Business Days after written notice of such failure is given to the Defaulting Party or (ii)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w:t>
      </w:r>
    </w:p>
    <w:p>
      <w:pPr>
        <w:pStyle w:val="Normal"/>
        <w:numPr>
          <w:ilvl w:val="0"/>
          <w:numId w:val="5"/>
        </w:numPr>
        <w:tabs>
          <w:tab w:val="clear" w:pos="720"/>
          <w:tab w:val="left" w:pos="270" w:leader="none"/>
          <w:tab w:val="left" w:pos="630" w:leader="none"/>
        </w:tabs>
        <w:ind w:hanging="0" w:start="0" w:end="0"/>
        <w:jc w:val="both"/>
        <w:rPr>
          <w:rFonts w:ascii="Arial Narrow" w:hAnsi="Arial Narrow" w:cs="Arial Narrow"/>
          <w:sz w:val="20"/>
        </w:rPr>
      </w:pPr>
      <w:r>
        <w:rPr>
          <w:rFonts w:cs="Arial Narrow" w:ascii="Arial Narrow" w:hAnsi="Arial Narrow"/>
          <w:sz w:val="20"/>
        </w:rPr>
        <w:t>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and withhold any payments due in respect of the Terminated Transactions.  On the Early Termination Date, this Confirmation and all other Physically Settled Power Transactions between the non-defaulting Party and the Defaulting Party shall be terminated (the "Terminated Transactions").  If an Early Termination Date has been designated, the non-defaulting Party shall in good faith calculate its Gains, Losses and Costs resulting from the termination of the Terminated Transactions.  The non-defaulting Party shall aggregate such Gains, Losses and Costs with respect to all Terminated Transactions into a single net amount and notify the Defaulting Party of the net amount owed or owing.  If the non-defaulting Party's aggregate Losses and Costs exceed its aggregate Gains, the Defaulting Party shall, within 3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next regularly scheduled payment date.  At the time for payment for any amount due under this Section, each Party shall pay the other Party all additional amounts payable by it pursuant to this Confirmation and any other Physically Settled Power Transactions, but all such amounts shall be netted and aggregated with any payments payable under this Section.  As used herein with respect to each Party:  (i) "</w:t>
      </w:r>
      <w:r>
        <w:rPr>
          <w:rFonts w:cs="Arial Narrow" w:ascii="Arial Narrow" w:hAnsi="Arial Narrow"/>
          <w:sz w:val="20"/>
          <w:u w:val="single"/>
        </w:rPr>
        <w:t>Costs</w:t>
      </w:r>
      <w:r>
        <w:rPr>
          <w:rFonts w:cs="Arial Narrow" w:ascii="Arial Narrow" w:hAnsi="Arial Narrow"/>
          <w:sz w:val="20"/>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Terminated Transaction; (ii) "</w:t>
      </w:r>
      <w:r>
        <w:rPr>
          <w:rFonts w:cs="Arial Narrow" w:ascii="Arial Narrow" w:hAnsi="Arial Narrow"/>
          <w:sz w:val="20"/>
          <w:u w:val="single"/>
        </w:rPr>
        <w:t>Gains</w:t>
      </w:r>
      <w:r>
        <w:rPr>
          <w:rFonts w:cs="Arial Narrow" w:ascii="Arial Narrow" w:hAnsi="Arial Narrow"/>
          <w:sz w:val="20"/>
        </w:rPr>
        <w:t>" shall mean, with respect to a Party, an amount equal to the present value of the economic benefit, if any, (exclusive of Costs) to it resulting from the termination of its obligations with respect to a Terminated Transaction, determined in a commercially reasonable manner; and (iii) "</w:t>
      </w:r>
      <w:r>
        <w:rPr>
          <w:rFonts w:cs="Arial Narrow" w:ascii="Arial Narrow" w:hAnsi="Arial Narrow"/>
          <w:sz w:val="20"/>
          <w:u w:val="single"/>
        </w:rPr>
        <w:t>Losses</w:t>
      </w:r>
      <w:r>
        <w:rPr>
          <w:rFonts w:cs="Arial Narrow" w:ascii="Arial Narrow" w:hAnsi="Arial Narrow"/>
          <w:sz w:val="20"/>
        </w:rPr>
        <w:t xml:space="preserve">" shall mean, with respect to a Party, an amount equal to the present value of the economic loss, if any, (exclusive of Costs) to it resulting from the termination of its obligations with respect to a Terminated Transaction, determined in a commercially reasonable manner. </w:t>
      </w:r>
    </w:p>
    <w:p>
      <w:pPr>
        <w:pStyle w:val="BodyTextIndent2"/>
        <w:numPr>
          <w:ilvl w:val="0"/>
          <w:numId w:val="5"/>
        </w:numPr>
        <w:tabs>
          <w:tab w:val="clear" w:pos="720"/>
          <w:tab w:val="left" w:pos="270" w:leader="none"/>
          <w:tab w:val="left" w:pos="540" w:leader="none"/>
          <w:tab w:val="left" w:pos="1080" w:leader="none"/>
        </w:tabs>
        <w:spacing w:before="0" w:after="0"/>
        <w:ind w:hanging="0" w:start="0" w:end="0"/>
        <w:rPr>
          <w:rFonts w:ascii="Arial Narrow" w:hAnsi="Arial Narrow" w:cs="Arial Narrow"/>
        </w:rPr>
      </w:pPr>
      <w:r>
        <w:rPr>
          <w:rFonts w:cs="Arial Narrow" w:ascii="Arial Narrow" w:hAnsi="Arial Narrow"/>
        </w:rPr>
        <w:t xml:space="preserve">In the event of an occurrence of an Early Termination Date, if the Defaulting Party would be owed amounts in respect of the obligations relating to such occurrence of an Early Termination Date, the non-defaulting Party shall be entitled, at its option and in its discretion, to set off against such amount any amounts payable by the Defaulting Party to the non-defaulting Party or any of its Affiliates under this Confirmation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w:t>
      </w:r>
    </w:p>
    <w:p>
      <w:pPr>
        <w:pStyle w:val="Normal"/>
        <w:numPr>
          <w:ilvl w:val="0"/>
          <w:numId w:val="6"/>
        </w:numPr>
        <w:tabs>
          <w:tab w:val="clear" w:pos="720"/>
          <w:tab w:val="left" w:pos="270" w:leader="none"/>
          <w:tab w:val="left" w:pos="108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Narrow" w:hAnsi="Arial Narrow" w:cs="Arial Narrow"/>
          <w:sz w:val="20"/>
        </w:rPr>
      </w:pPr>
      <w:r>
        <w:rPr>
          <w:rFonts w:cs="Arial Narrow" w:ascii="Arial Narrow" w:hAnsi="Arial Narrow"/>
          <w:b/>
          <w:sz w:val="20"/>
          <w:u w:val="single"/>
        </w:rPr>
        <w:t>Billing and Payment Netting</w:t>
      </w:r>
      <w:r>
        <w:rPr>
          <w:rFonts w:cs="Arial Narrow" w:ascii="Arial Narrow" w:hAnsi="Arial Narrow"/>
          <w:b/>
          <w:sz w:val="20"/>
        </w:rPr>
        <w:t xml:space="preserve">.  </w:t>
      </w:r>
      <w:r>
        <w:rPr>
          <w:rFonts w:cs="Arial Narrow" w:ascii="Arial Narrow" w:hAnsi="Arial Narrow"/>
          <w:sz w:val="20"/>
        </w:rPr>
        <w:t>(a) By the 10</w:t>
      </w:r>
      <w:r>
        <w:rPr>
          <w:rFonts w:cs="Arial Narrow" w:ascii="Arial Narrow" w:hAnsi="Arial Narrow"/>
          <w:sz w:val="20"/>
          <w:vertAlign w:val="superscript"/>
        </w:rPr>
        <w:t>th</w:t>
      </w:r>
      <w:r>
        <w:rPr>
          <w:rFonts w:cs="Arial Narrow" w:ascii="Arial Narrow" w:hAnsi="Arial Narrow"/>
          <w:sz w:val="20"/>
        </w:rPr>
        <w:t xml:space="preserve"> day of each month Seller shall provide Buyer a written statement for the preceding month, setting forth the Contract Quantity sold, Delivery Term, and all amounts due.  Billing and payment shall be based on scheduled hourly quantities and/or other applicable charges.  Amounts payable shall be paid by wire transfer on or before the 5</w:t>
      </w:r>
      <w:r>
        <w:rPr>
          <w:rFonts w:cs="Arial Narrow" w:ascii="Arial Narrow" w:hAnsi="Arial Narrow"/>
          <w:sz w:val="20"/>
          <w:vertAlign w:val="superscript"/>
        </w:rPr>
        <w:t>th</w:t>
      </w:r>
      <w:r>
        <w:rPr>
          <w:rFonts w:cs="Arial Narrow" w:ascii="Arial Narrow" w:hAnsi="Arial Narrow"/>
          <w:sz w:val="20"/>
        </w:rPr>
        <w:t xml:space="preserve"> day after the statement was received, or if such day is not a Business Day, the next Business Day.  Notwithstanding the foregoing, all Option premiums shall be payable by Buyer on or before the 2</w:t>
      </w:r>
      <w:r>
        <w:rPr>
          <w:rFonts w:cs="Arial Narrow" w:ascii="Arial Narrow" w:hAnsi="Arial Narrow"/>
          <w:sz w:val="20"/>
          <w:vertAlign w:val="superscript"/>
        </w:rPr>
        <w:t>nd</w:t>
      </w:r>
      <w:r>
        <w:rPr>
          <w:rFonts w:cs="Arial Narrow" w:ascii="Arial Narrow" w:hAnsi="Arial Narrow"/>
          <w:sz w:val="20"/>
        </w:rPr>
        <w:t xml:space="preserve">  Business Day after receipt of an invoice which invoice may be sent any time on or after the Trade Date.  Amounts not paid on or before the due date shall be payable with interest accrued daily at the Interest Rate.  In the event any portion of any bill is in dispute, the undisputed amount shall be paid when due.  The Parties shall promptly attempt to resolve any dispute. Upon determination of the correct billing amount, the proper adjustment shall be paid or refunded promptly after such determination, with interest at the Interest Rate from the date payment was due to the date the payment was made.</w:t>
      </w:r>
    </w:p>
    <w:p>
      <w:pPr>
        <w:pStyle w:val="Heading2"/>
        <w:numPr>
          <w:ilvl w:val="0"/>
          <w:numId w:val="9"/>
        </w:numPr>
        <w:tabs>
          <w:tab w:val="clear" w:pos="720"/>
          <w:tab w:val="left" w:pos="270" w:leader="none"/>
          <w:tab w:val="left" w:pos="540" w:leader="none"/>
          <w:tab w:val="left" w:pos="1080" w:leader="none"/>
        </w:tabs>
        <w:spacing w:before="0" w:after="0"/>
        <w:ind w:hanging="0" w:start="0" w:end="0"/>
        <w:rPr>
          <w:rFonts w:ascii="Arial Narrow" w:hAnsi="Arial Narrow" w:cs="Arial Narrow"/>
          <w:sz w:val="20"/>
        </w:rPr>
      </w:pPr>
      <w:r>
        <w:rPr>
          <w:rFonts w:cs="Arial Narrow" w:ascii="Arial Narrow" w:hAnsi="Arial Narrow"/>
          <w:sz w:val="20"/>
        </w:rPr>
        <w:t>If Buyer and Seller are each required to pay an amount in the same month pursuant to this Confirmation or any other Physically Settled Power Transaction, then such amounts with respect to each Party shall be aggregated and the Parties shall discharge their obligations to pay through netting, in which case the Party owing the greater aggregate amount shall pay to the other Party the difference between the amounts owed.  All outstanding Physically Settled Power Transactions and obligations to make payment in connection herewith or under this Confirmation or any other agreement between the Parties may be offset against each other, set off or recouped therefrom.</w:t>
      </w:r>
    </w:p>
    <w:p>
      <w:pPr>
        <w:pStyle w:val="Heading2"/>
        <w:numPr>
          <w:ilvl w:val="0"/>
          <w:numId w:val="8"/>
        </w:numPr>
        <w:tabs>
          <w:tab w:val="clear" w:pos="720"/>
          <w:tab w:val="left" w:pos="270" w:leader="none"/>
          <w:tab w:val="left" w:pos="1080" w:leader="none"/>
        </w:tabs>
        <w:spacing w:before="0" w:after="0"/>
        <w:ind w:hanging="0" w:start="0" w:end="0"/>
        <w:rPr>
          <w:rFonts w:ascii="Arial Narrow" w:hAnsi="Arial Narrow" w:cs="Arial Narrow"/>
          <w:sz w:val="20"/>
        </w:rPr>
      </w:pPr>
      <w:r>
        <w:rPr>
          <w:rFonts w:cs="Arial Narrow" w:ascii="Arial Narrow" w:hAnsi="Arial Narrow"/>
          <w:b/>
          <w:sz w:val="20"/>
          <w:u w:val="single"/>
        </w:rPr>
        <w:t>Limitation of Liability</w:t>
      </w:r>
      <w:r>
        <w:rPr>
          <w:rFonts w:cs="Arial Narrow" w:ascii="Arial Narrow" w:hAnsi="Arial Narrow"/>
          <w:b/>
          <w:sz w:val="20"/>
        </w:rPr>
        <w:t>.</w:t>
      </w:r>
      <w:r>
        <w:rPr>
          <w:rFonts w:cs="Arial Narrow" w:ascii="Arial Narrow" w:hAnsi="Arial Narrow"/>
          <w:sz w:val="20"/>
        </w:rPr>
        <w:t xml:space="preserve">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Normal"/>
        <w:numPr>
          <w:ilvl w:val="0"/>
          <w:numId w:val="8"/>
        </w:numPr>
        <w:tabs>
          <w:tab w:val="clear" w:pos="720"/>
          <w:tab w:val="left" w:pos="27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0" w:start="0" w:end="0"/>
        <w:jc w:val="both"/>
        <w:rPr>
          <w:rFonts w:ascii="Arial Narrow" w:hAnsi="Arial Narrow" w:cs="Arial Narrow"/>
          <w:sz w:val="20"/>
        </w:rPr>
      </w:pPr>
      <w:r>
        <w:rPr>
          <w:rFonts w:cs="Arial Narrow" w:ascii="Arial Narrow" w:hAnsi="Arial Narrow"/>
          <w:b/>
          <w:sz w:val="20"/>
          <w:u w:val="single"/>
        </w:rPr>
        <w:t>Confidentiality.</w:t>
      </w:r>
      <w:r>
        <w:rPr>
          <w:rFonts w:cs="Arial Narrow" w:ascii="Arial Narrow" w:hAnsi="Arial Narrow"/>
          <w:b/>
          <w:sz w:val="20"/>
        </w:rPr>
        <w:t xml:space="preserve">  </w:t>
      </w:r>
      <w:r>
        <w:rPr>
          <w:rFonts w:cs="Arial Narrow" w:ascii="Arial Narrow" w:hAnsi="Arial Narrow"/>
          <w:sz w:val="20"/>
        </w:rPr>
        <w:t>Neither Party shall disclose any of the terms or conditions of this Confirmation to a third party (other than the Party's and its Affiliates' employees, lenders, counsel, or accountants who have a need to know such information and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tabs>
          <w:tab w:val="clear" w:pos="720"/>
          <w:tab w:val="left" w:pos="27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Arial Narrow" w:hAnsi="Arial Narrow" w:cs="Arial Narrow"/>
          <w:sz w:val="20"/>
        </w:rPr>
      </w:pPr>
      <w:r>
        <w:rPr>
          <w:rFonts w:cs="Arial Narrow" w:ascii="Arial Narrow" w:hAnsi="Arial Narrow"/>
          <w:sz w:val="20"/>
        </w:rPr>
      </w:r>
    </w:p>
    <w:p>
      <w:pPr>
        <w:pStyle w:val="Normal"/>
        <w:numPr>
          <w:ilvl w:val="0"/>
          <w:numId w:val="8"/>
        </w:numPr>
        <w:tabs>
          <w:tab w:val="clear" w:pos="720"/>
          <w:tab w:val="left" w:pos="270" w:leader="none"/>
          <w:tab w:val="left" w:pos="810" w:leader="none"/>
          <w:tab w:val="left" w:pos="1080" w:leader="none"/>
          <w:tab w:val="left" w:pos="1170" w:leader="none"/>
        </w:tabs>
        <w:ind w:hanging="0" w:start="0" w:end="0"/>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b/>
          <w:sz w:val="20"/>
          <w:u w:val="single"/>
        </w:rPr>
        <w:t>Taxes.</w:t>
      </w:r>
      <w:r>
        <w:rPr>
          <w:rFonts w:cs="Arial Narrow" w:ascii="Arial Narrow" w:hAnsi="Arial Narrow"/>
          <w:sz w:val="20"/>
        </w:rPr>
        <w:t xml:space="preserve"> The Contract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Contract Price does not include reimbursement for, and Buyer is liable for and shall pay, cause to be paid, or reimburse Seller is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w:t>
      </w:r>
    </w:p>
    <w:p>
      <w:pPr>
        <w:pStyle w:val="Normal"/>
        <w:numPr>
          <w:ilvl w:val="0"/>
          <w:numId w:val="8"/>
        </w:numPr>
        <w:tabs>
          <w:tab w:val="clear" w:pos="720"/>
          <w:tab w:val="left" w:pos="270" w:leader="none"/>
          <w:tab w:val="left" w:pos="810" w:leader="none"/>
          <w:tab w:val="left" w:pos="1080" w:leader="none"/>
          <w:tab w:val="left" w:pos="1170" w:leader="none"/>
        </w:tabs>
        <w:ind w:hanging="0" w:start="0" w:end="0"/>
        <w:jc w:val="both"/>
        <w:rPr>
          <w:rFonts w:ascii="Arial Narrow" w:hAnsi="Arial Narrow" w:cs="Arial Narrow"/>
          <w:sz w:val="20"/>
        </w:rPr>
      </w:pPr>
      <w:r>
        <w:rPr>
          <w:rFonts w:cs="Arial Narrow" w:ascii="Arial Narrow" w:hAnsi="Arial Narrow"/>
          <w:b/>
          <w:sz w:val="20"/>
          <w:u w:val="single"/>
        </w:rPr>
        <w:t>Miscellaneous</w:t>
      </w:r>
      <w:r>
        <w:rPr>
          <w:rFonts w:cs="Arial Narrow" w:ascii="Arial Narrow" w:hAnsi="Arial Narrow"/>
          <w:sz w:val="20"/>
        </w:rPr>
        <w:t>.  (a) Each of the Parties represents and warrants that it has all regulatory authorizations necessary for it to legally perform its obligations under this Annex A and each Transaction, the execution, delivery and performance of this Annex A and each Transaction are within its powers, have been duly authorized by all necessary action and do not violate any of the terms and conditions in its governing documents, any contracts to which it is a party or any law or regulation applicable to it, this Annex A and each Transaction when entered into in accordance with this Annex A constitutes its legally valid and binding obligation enforceable against it in accordance with its terms, subject to any equitable defenses; with respect to each Transaction, it has the ability to make or take delivery of the Energy and has entered into such Transaction with the intention to do so; and with respect to Options, it is a producer, processor, commercial user of, or merchant handling, the commodity subject to the Transaction or the products or byproducts thereof, and is entering into each Option solely for purposes related to its business as such.</w:t>
      </w:r>
    </w:p>
    <w:p>
      <w:pPr>
        <w:pStyle w:val="BodyText"/>
        <w:tabs>
          <w:tab w:val="clear" w:pos="720"/>
          <w:tab w:val="clear" w:pos="1440"/>
          <w:tab w:val="clear" w:pos="2160"/>
          <w:tab w:val="clear" w:pos="5040"/>
          <w:tab w:val="clear" w:pos="5760"/>
          <w:tab w:val="clear" w:pos="6480"/>
          <w:tab w:val="clear" w:pos="7200"/>
          <w:tab w:val="clear" w:pos="7920"/>
          <w:tab w:val="clear" w:pos="8640"/>
          <w:tab w:val="clear" w:pos="9360"/>
          <w:tab w:val="clear" w:pos="9450"/>
          <w:tab w:val="clear" w:pos="10800"/>
          <w:tab w:val="clear" w:pos="11520"/>
          <w:tab w:val="clear" w:pos="12240"/>
          <w:tab w:val="clear" w:pos="12960"/>
          <w:tab w:val="clear" w:pos="13680"/>
          <w:tab w:val="clear" w:pos="14400"/>
          <w:tab w:val="clear" w:pos="15120"/>
          <w:tab w:val="clear" w:pos="15840"/>
          <w:tab w:val="clear" w:pos="16560"/>
          <w:tab w:val="left" w:pos="270" w:leader="none"/>
          <w:tab w:val="left" w:pos="810" w:leader="none"/>
          <w:tab w:val="left" w:pos="1080" w:leader="none"/>
          <w:tab w:val="left" w:pos="1170" w:leader="none"/>
        </w:tabs>
        <w:spacing w:before="0" w:after="0"/>
        <w:rPr>
          <w:rFonts w:ascii="Arial Narrow" w:hAnsi="Arial Narrow" w:cs="Arial Narrow"/>
        </w:rPr>
      </w:pPr>
      <w:r>
        <w:rPr>
          <w:rFonts w:cs="Arial Narrow" w:ascii="Arial Narrow" w:hAnsi="Arial Narrow"/>
        </w:rPr>
        <w:t>(b) Each of the Parties acknowledges and agrees that it is entering into this Transaction in reliance upon the fact that all Physically Settled Power Transactions will form a single agreement and that the Parties have the rights and obligations set forth herein.  Upon execution by the Parties of a Master Agreement, this Confirmation will supplement, form part of, and be subject to the Master Agreement.  In the event of any inconsistency between this Confirmation and the Master Agreement, the Master Agreement shall govern except as expressly set forth therein. In the event of any inconsistency between this Confirmation Letter and its Annex A or the Master Agreement, the terms in the Confirmation Letter shall govern (except as to references to Annex A therein).</w:t>
      </w:r>
    </w:p>
    <w:p>
      <w:pPr>
        <w:pStyle w:val="BodyTextIndent2"/>
        <w:numPr>
          <w:ilvl w:val="0"/>
          <w:numId w:val="4"/>
        </w:numPr>
        <w:tabs>
          <w:tab w:val="clear" w:pos="720"/>
          <w:tab w:val="left" w:pos="270" w:leader="none"/>
          <w:tab w:val="left" w:pos="540" w:leader="none"/>
          <w:tab w:val="left" w:pos="1080" w:leader="none"/>
        </w:tabs>
        <w:spacing w:before="0" w:after="0"/>
        <w:ind w:hanging="0" w:start="0" w:end="0"/>
        <w:rPr>
          <w:rFonts w:ascii="Arial Narrow" w:hAnsi="Arial Narrow" w:cs="Arial Narrow"/>
        </w:rPr>
      </w:pPr>
      <w:r>
        <w:rPr>
          <w:rFonts w:cs="Arial Narrow" w:ascii="Arial Narrow" w:hAnsi="Arial Narrow"/>
        </w:rPr>
        <w:t>The Confirmation shall (i) be governed by, interpreted and construed in accordance with the laws of the State of New York (excluding conflict of laws principles); (ii) neither Party shall have the power to assign or otherwise transfer all or any of its rights or obligations under this Confirmation without the prior written consent of the other Party, which consent may be withheld in its sole discretion; provided, however, either Party may transfer or assign this Confirmation to an Affiliate (so long as such Affiliate agrees to make the representation in Section 10(a) and otherwise agrees in writing to be bound by the terms and conditions hereof) without the consent of the other Party (but with prior notice), but such transfer or assignment shall not relieve the transferor Party of its obligations; and (iii) contain the entire agreement between the Parties and supersede all prior oral or written communications or agreements relating to the subject matter.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Confirmation; and provided, further, that if a Regulatory Event occurs, the Parties shall use their best efforts to reform this Confirmation in order to give effect to the original intention of the Parties.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at the address as specified in this Confirmation or as may be subsequently designated by effective notice.  If either Party fails to pay any uncontested amounts when due, the aggrieved Party shall have the right to (i) suspend performance under this Transaction and any other Physically Settled Power Transaction, upon notice of election of this remedy to the nonpaying Party, until such amounts plus interest at the Interest Rate have been paid (but in no event for longer than five (5) Business Days following delivery of such notice relating to any continuing nonpayment under this Transaction and any other Physically Settled Power Transaction) and/or (ii) exercise any remedy available at law, including under this Annex A, or in equity to enforce payment of such amount plus interest at the Interest Rate.  Any Party in default under this Confirmation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Confirmation.</w:t>
      </w:r>
    </w:p>
    <w:p>
      <w:pPr>
        <w:pStyle w:val="BodyTextIndent2"/>
        <w:numPr>
          <w:ilvl w:val="0"/>
          <w:numId w:val="4"/>
        </w:numPr>
        <w:tabs>
          <w:tab w:val="clear" w:pos="720"/>
          <w:tab w:val="left" w:pos="270" w:leader="none"/>
          <w:tab w:val="left" w:pos="540" w:leader="none"/>
          <w:tab w:val="left" w:pos="1080" w:leader="none"/>
        </w:tabs>
        <w:spacing w:before="0" w:after="0"/>
        <w:ind w:hanging="0" w:start="0" w:end="0"/>
        <w:rPr>
          <w:rFonts w:ascii="Arial Narrow" w:hAnsi="Arial Narrow" w:cs="Arial Narrow"/>
          <w:b/>
        </w:rPr>
      </w:pPr>
      <w:r>
        <w:rPr>
          <w:rFonts w:cs="Arial Narrow" w:ascii="Arial Narrow" w:hAnsi="Arial Narrow"/>
          <w:b/>
        </w:rPr>
        <w:t>Any dispute relating to this Confirmation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electrical energy-related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numPr>
          <w:ilvl w:val="0"/>
          <w:numId w:val="8"/>
        </w:numPr>
        <w:tabs>
          <w:tab w:val="clear" w:pos="720"/>
          <w:tab w:val="left" w:pos="270" w:leader="none"/>
          <w:tab w:val="left" w:pos="810" w:leader="none"/>
          <w:tab w:val="left" w:pos="1080" w:leader="none"/>
          <w:tab w:val="left" w:pos="1170" w:leader="none"/>
        </w:tabs>
        <w:ind w:hanging="0" w:start="0" w:end="0"/>
        <w:jc w:val="both"/>
        <w:rPr>
          <w:rFonts w:ascii="Arial Narrow" w:hAnsi="Arial Narrow" w:cs="Arial Narrow"/>
          <w:sz w:val="20"/>
        </w:rPr>
      </w:pPr>
      <w:r>
        <w:rPr>
          <w:rFonts w:cs="Arial Narrow" w:ascii="Arial Narrow" w:hAnsi="Arial Narrow"/>
          <w:b/>
          <w:sz w:val="20"/>
          <w:u w:val="single"/>
        </w:rPr>
        <w:t>Definitions</w:t>
      </w:r>
      <w:r>
        <w:rPr>
          <w:rFonts w:cs="Arial Narrow" w:ascii="Arial Narrow" w:hAnsi="Arial Narrow"/>
          <w:sz w:val="20"/>
        </w:rPr>
        <w:t>.  The following definitions and any terms defined internally in this Confirmation shall apply to this Confirmation and all notices and communications made pursuant to this Confirmation.</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Affiliate</w:t>
      </w:r>
      <w:r>
        <w:rPr>
          <w:rFonts w:cs="Arial Narrow" w:ascii="Arial Narrow" w:hAnsi="Arial Narrow"/>
          <w:sz w:val="20"/>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Business Day</w:t>
      </w:r>
      <w:r>
        <w:rPr>
          <w:rFonts w:cs="Arial Narrow" w:ascii="Arial Narrow" w:hAnsi="Arial Narrow"/>
          <w:sz w:val="20"/>
        </w:rPr>
        <w:t>" means a day on which Federal Reserve member banks in New York City are open for business; and a Business Day shall open at 8:00 a.m. and close at 5:00 p.m. local time for each Party’s principal place of business.</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CPT</w:t>
      </w:r>
      <w:r>
        <w:rPr>
          <w:rFonts w:cs="Arial Narrow" w:ascii="Arial Narrow" w:hAnsi="Arial Narrow"/>
          <w:sz w:val="20"/>
        </w:rPr>
        <w:t>" means Central Prevailing Time.</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Call Option</w:t>
      </w:r>
      <w:r>
        <w:rPr>
          <w:rFonts w:cs="Arial Narrow" w:ascii="Arial Narrow" w:hAnsi="Arial Narrow"/>
          <w:sz w:val="20"/>
        </w:rPr>
        <w:t>" means an option entitling, but not obligating, the option Buyer to purchase and receive Energy from the option Seller at a price equal to the Strike Price for the Delivery Term(s) for which the option may be exercised, all as agreed to by the Parties in a Transaction.</w:t>
      </w:r>
    </w:p>
    <w:p>
      <w:pPr>
        <w:pStyle w:val="Heading2"/>
        <w:ind w:hanging="0" w:start="0"/>
        <w:rPr/>
      </w:pPr>
      <w:r>
        <w:rPr>
          <w:rFonts w:cs="Arial Narrow" w:ascii="Arial Narrow" w:hAnsi="Arial Narrow"/>
          <w:sz w:val="20"/>
        </w:rPr>
        <w:t>“</w:t>
      </w:r>
      <w:r>
        <w:rPr>
          <w:rFonts w:cs="Arial Narrow" w:ascii="Arial Narrow" w:hAnsi="Arial Narrow"/>
          <w:i/>
          <w:sz w:val="20"/>
          <w:u w:val="single"/>
        </w:rPr>
        <w:t>Claims</w:t>
      </w:r>
      <w:r>
        <w:rPr>
          <w:rFonts w:cs="Arial Narrow" w:ascii="Arial Narrow" w:hAnsi="Arial Narrow"/>
          <w:i/>
          <w:sz w:val="20"/>
        </w:rPr>
        <w:t>”</w:t>
      </w:r>
      <w:r>
        <w:rPr>
          <w:rFonts w:cs="Arial Narrow" w:ascii="Arial Narrow" w:hAnsi="Arial Narrow"/>
          <w:sz w:val="20"/>
        </w:rPr>
        <w:t xml:space="preserve">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a Transaction.                   </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Contract Price</w:t>
      </w:r>
      <w:r>
        <w:rPr>
          <w:rFonts w:cs="Arial Narrow" w:ascii="Arial Narrow" w:hAnsi="Arial Narrow"/>
          <w:sz w:val="20"/>
        </w:rPr>
        <w:t>" means the price set forth in the Confirmation Letter, or in the case of Options, the Strike Price.</w:t>
      </w:r>
    </w:p>
    <w:p>
      <w:pPr>
        <w:pStyle w:val="Heading2"/>
        <w:ind w:hanging="0" w:start="0"/>
        <w:rPr/>
      </w:pPr>
      <w:r>
        <w:rPr>
          <w:rFonts w:cs="Arial Narrow" w:ascii="Arial Narrow" w:hAnsi="Arial Narrow"/>
          <w:i/>
          <w:sz w:val="20"/>
        </w:rPr>
        <w:t>“</w:t>
      </w:r>
      <w:r>
        <w:rPr>
          <w:rFonts w:cs="Arial Narrow" w:ascii="Arial Narrow" w:hAnsi="Arial Narrow"/>
          <w:i/>
          <w:sz w:val="20"/>
          <w:u w:val="single"/>
        </w:rPr>
        <w:t>Contract Quantity</w:t>
      </w:r>
      <w:r>
        <w:rPr>
          <w:rFonts w:cs="Arial Narrow" w:ascii="Arial Narrow" w:hAnsi="Arial Narrow"/>
          <w:i/>
          <w:sz w:val="20"/>
        </w:rPr>
        <w:t>”</w:t>
      </w:r>
      <w:r>
        <w:rPr>
          <w:rFonts w:cs="Arial Narrow" w:ascii="Arial Narrow" w:hAnsi="Arial Narrow"/>
          <w:sz w:val="20"/>
        </w:rPr>
        <w:t xml:space="preserve"> means the quantity of Energy that Seller agrees to sell and delivery, or cause to be delivered, to Buyer and that Buyer agrees to purchase and receive, or cause to be received, from Seller, pursuant to the terms of a Transaction.</w:t>
      </w:r>
    </w:p>
    <w:p>
      <w:pPr>
        <w:pStyle w:val="Heading2"/>
        <w:ind w:hanging="0" w:start="0"/>
        <w:rPr/>
      </w:pPr>
      <w:r>
        <w:rPr>
          <w:rFonts w:cs="Arial Narrow" w:ascii="Arial Narrow" w:hAnsi="Arial Narrow"/>
          <w:i/>
          <w:sz w:val="20"/>
        </w:rPr>
        <w:t>“</w:t>
      </w:r>
      <w:r>
        <w:rPr>
          <w:rFonts w:cs="Arial Narrow" w:ascii="Arial Narrow" w:hAnsi="Arial Narrow"/>
          <w:i/>
          <w:sz w:val="20"/>
          <w:u w:val="single"/>
        </w:rPr>
        <w:t>Delivery Point</w:t>
      </w:r>
      <w:r>
        <w:rPr>
          <w:rFonts w:cs="Arial Narrow" w:ascii="Arial Narrow" w:hAnsi="Arial Narrow"/>
          <w:i/>
          <w:sz w:val="20"/>
        </w:rPr>
        <w:t xml:space="preserve">” </w:t>
      </w:r>
      <w:r>
        <w:rPr>
          <w:rFonts w:cs="Arial Narrow" w:ascii="Arial Narrow" w:hAnsi="Arial Narrow"/>
          <w:sz w:val="20"/>
        </w:rPr>
        <w:t>means the agreed point of delivery and receipt of Energy pursuant to a Transaction.</w:t>
      </w:r>
    </w:p>
    <w:p>
      <w:pPr>
        <w:pStyle w:val="Heading2"/>
        <w:ind w:hanging="0" w:start="0"/>
        <w:rPr/>
      </w:pPr>
      <w:r>
        <w:rPr>
          <w:rFonts w:cs="Arial Narrow" w:ascii="Arial Narrow" w:hAnsi="Arial Narrow"/>
          <w:i/>
          <w:sz w:val="20"/>
        </w:rPr>
        <w:t>“</w:t>
      </w:r>
      <w:r>
        <w:rPr>
          <w:rFonts w:cs="Arial Narrow" w:ascii="Arial Narrow" w:hAnsi="Arial Narrow"/>
          <w:i/>
          <w:sz w:val="20"/>
          <w:u w:val="single"/>
        </w:rPr>
        <w:t>Delivery Term</w:t>
      </w:r>
      <w:r>
        <w:rPr>
          <w:rFonts w:cs="Arial Narrow" w:ascii="Arial Narrow" w:hAnsi="Arial Narrow"/>
          <w:i/>
          <w:sz w:val="20"/>
        </w:rPr>
        <w:t>”</w:t>
      </w:r>
      <w:r>
        <w:rPr>
          <w:rFonts w:cs="Arial Narrow" w:ascii="Arial Narrow" w:hAnsi="Arial Narrow"/>
          <w:sz w:val="20"/>
        </w:rPr>
        <w:t xml:space="preserve"> means the period of time from the date physical delivery of the Energy is to commence to the date physical delivery is to terminate under a Transaction.</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Energy</w:t>
      </w:r>
      <w:r>
        <w:rPr>
          <w:rFonts w:cs="Arial Narrow" w:ascii="Arial Narrow" w:hAnsi="Arial Narrow"/>
          <w:sz w:val="20"/>
        </w:rPr>
        <w:t>" means electrical energy or to the extent specifically agreed to by the Parties, capacity or other related products and services, and specifically includes the Commodity.</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EPT</w:t>
      </w:r>
      <w:r>
        <w:rPr>
          <w:rFonts w:cs="Arial Narrow" w:ascii="Arial Narrow" w:hAnsi="Arial Narrow"/>
          <w:sz w:val="20"/>
        </w:rPr>
        <w:t>" means Eastern Prevailing Time.</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Force Majeure</w:t>
      </w:r>
      <w:r>
        <w:rPr>
          <w:rFonts w:cs="Arial Narrow" w:ascii="Arial Narrow" w:hAnsi="Arial Narrow"/>
          <w:sz w:val="20"/>
        </w:rPr>
        <w:t>" means an event not anticipated as of the Trade Date, which is not within the reasonable control of the Party claiming suspension ("Claiming Party"), and which by the exercise of due diligence the Claiming Party is unable to overcome or obtain or cause to be obtained a commercially reasonable substitute therefor; provided that (i) neither the loss of Buyer's markets nor (ii) Buyer's inability economically to use or resell Energy purchased hereunder nor (iii) Seller's ability to sell Energy to a market at a more advantageous price shall constitute an event of Force Majeure.</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Interest Rate</w:t>
      </w:r>
      <w:r>
        <w:rPr>
          <w:rFonts w:cs="Arial Narrow" w:ascii="Arial Narrow" w:hAnsi="Arial Narrow"/>
          <w:sz w:val="20"/>
        </w:rPr>
        <w:t xml:space="preserve">" means, for any date, two percent over the per annum rate of interest equal to the prime lending rate as may from time to time be published in </w:t>
      </w:r>
      <w:r>
        <w:rPr>
          <w:rFonts w:cs="Arial Narrow" w:ascii="Arial Narrow" w:hAnsi="Arial Narrow"/>
          <w:sz w:val="20"/>
          <w:u w:val="single"/>
        </w:rPr>
        <w:t>The Wall Street Journal</w:t>
      </w:r>
      <w:r>
        <w:rPr>
          <w:rFonts w:cs="Arial Narrow" w:ascii="Arial Narrow" w:hAnsi="Arial Narrow"/>
          <w:sz w:val="20"/>
        </w:rPr>
        <w:t xml:space="preserve"> under "Money Rates"; provided, the Interest Rate shall never exceed the maximum lawful rate permitted by applicable law.</w:t>
      </w:r>
    </w:p>
    <w:p>
      <w:pPr>
        <w:pStyle w:val="Heading2"/>
        <w:tabs>
          <w:tab w:val="clear" w:pos="720"/>
          <w:tab w:val="left" w:pos="270" w:leader="none"/>
        </w:tabs>
        <w:spacing w:before="0" w:after="0"/>
        <w:ind w:hanging="0" w:start="0"/>
        <w:rPr/>
      </w:pPr>
      <w:r>
        <w:rPr>
          <w:rFonts w:cs="Arial Narrow" w:ascii="Arial Narrow" w:hAnsi="Arial Narrow"/>
          <w:sz w:val="20"/>
        </w:rPr>
        <w:t>"</w:t>
      </w:r>
      <w:r>
        <w:rPr>
          <w:rFonts w:cs="Arial Narrow" w:ascii="Arial Narrow" w:hAnsi="Arial Narrow"/>
          <w:i/>
          <w:sz w:val="20"/>
          <w:u w:val="single"/>
        </w:rPr>
        <w:t>MW</w:t>
      </w:r>
      <w:r>
        <w:rPr>
          <w:rFonts w:cs="Arial Narrow" w:ascii="Arial Narrow" w:hAnsi="Arial Narrow"/>
          <w:sz w:val="20"/>
        </w:rPr>
        <w:t>" means one megawatt.</w:t>
      </w:r>
    </w:p>
    <w:p>
      <w:pPr>
        <w:pStyle w:val="Heading2"/>
        <w:tabs>
          <w:tab w:val="clear" w:pos="720"/>
          <w:tab w:val="left" w:pos="270" w:leader="none"/>
        </w:tabs>
        <w:spacing w:before="0" w:after="0"/>
        <w:ind w:hanging="0" w:start="0"/>
        <w:rPr/>
      </w:pPr>
      <w:r>
        <w:rPr>
          <w:rFonts w:cs="Arial Narrow" w:ascii="Arial Narrow" w:hAnsi="Arial Narrow"/>
          <w:sz w:val="20"/>
        </w:rPr>
        <w:t>"</w:t>
      </w:r>
      <w:r>
        <w:rPr>
          <w:rFonts w:cs="Arial Narrow" w:ascii="Arial Narrow" w:hAnsi="Arial Narrow"/>
          <w:i/>
          <w:sz w:val="20"/>
          <w:u w:val="single"/>
        </w:rPr>
        <w:t>MWh</w:t>
      </w:r>
      <w:r>
        <w:rPr>
          <w:rFonts w:cs="Arial Narrow" w:ascii="Arial Narrow" w:hAnsi="Arial Narrow"/>
          <w:sz w:val="20"/>
        </w:rPr>
        <w:t>" means one megawatt hour.</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Master Agreement</w:t>
      </w:r>
      <w:r>
        <w:rPr>
          <w:rFonts w:cs="Arial Narrow" w:ascii="Arial Narrow" w:hAnsi="Arial Narrow"/>
          <w:sz w:val="20"/>
        </w:rPr>
        <w:t>" means a master trading agreement, executed by the Parties for the purchase and sale of Energy.</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Option</w:t>
      </w:r>
      <w:r>
        <w:rPr>
          <w:rFonts w:cs="Arial Narrow" w:ascii="Arial Narrow" w:hAnsi="Arial Narrow"/>
          <w:sz w:val="20"/>
        </w:rPr>
        <w:t>" means a Call Option, Put Option or other option transaction.</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PPT</w:t>
      </w:r>
      <w:r>
        <w:rPr>
          <w:rFonts w:cs="Arial Narrow" w:ascii="Arial Narrow" w:hAnsi="Arial Narrow"/>
          <w:sz w:val="20"/>
        </w:rPr>
        <w:t>" means Pacific Prevailing Time.</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Physically Settled Power Transaction</w:t>
      </w:r>
      <w:r>
        <w:rPr>
          <w:rFonts w:cs="Arial Narrow" w:ascii="Arial Narrow" w:hAnsi="Arial Narrow"/>
          <w:sz w:val="20"/>
        </w:rPr>
        <w:t>" means any presently existing and any future agreement between the Parties relating to the purchase and sale of Energy for physical delivery, including without limitation Options thereon.</w:t>
      </w:r>
    </w:p>
    <w:p>
      <w:pPr>
        <w:pStyle w:val="Heading2"/>
        <w:spacing w:before="0" w:after="0"/>
        <w:ind w:hanging="0" w:start="0"/>
        <w:rPr/>
      </w:pPr>
      <w:r>
        <w:rPr>
          <w:rFonts w:cs="Arial Narrow" w:ascii="Arial Narrow" w:hAnsi="Arial Narrow"/>
          <w:sz w:val="20"/>
        </w:rPr>
        <w:t>"</w:t>
      </w:r>
      <w:r>
        <w:rPr>
          <w:rFonts w:cs="Arial Narrow" w:ascii="Arial Narrow" w:hAnsi="Arial Narrow"/>
          <w:i/>
          <w:sz w:val="20"/>
          <w:u w:val="single"/>
        </w:rPr>
        <w:t>Put Option</w:t>
      </w:r>
      <w:r>
        <w:rPr>
          <w:rFonts w:cs="Arial Narrow" w:ascii="Arial Narrow" w:hAnsi="Arial Narrow"/>
          <w:sz w:val="20"/>
        </w:rPr>
        <w:t>" means an option entitling, but not obligating, the option Buyer to sell and deliver Energy to the option Seller at a price equal to the Strike Price for the Delivery Term(s) for which the option may be exercised, all as agreed to by the Parties in a Transaction.</w:t>
      </w:r>
    </w:p>
    <w:p>
      <w:pPr>
        <w:pStyle w:val="Heading2"/>
        <w:tabs>
          <w:tab w:val="clear" w:pos="720"/>
          <w:tab w:val="left" w:pos="270" w:leader="none"/>
        </w:tabs>
        <w:spacing w:before="0" w:after="0"/>
        <w:ind w:hanging="0" w:start="0"/>
        <w:rPr/>
      </w:pPr>
      <w:r>
        <w:rPr>
          <w:rFonts w:cs="Arial Narrow" w:ascii="Arial Narrow" w:hAnsi="Arial Narrow"/>
          <w:sz w:val="20"/>
        </w:rPr>
        <w:t>"</w:t>
      </w:r>
      <w:r>
        <w:rPr>
          <w:rFonts w:cs="Arial Narrow" w:ascii="Arial Narrow" w:hAnsi="Arial Narrow"/>
          <w:i/>
          <w:sz w:val="20"/>
          <w:u w:val="single"/>
        </w:rPr>
        <w:t>Replacement Price</w:t>
      </w:r>
      <w:r>
        <w:rPr>
          <w:rFonts w:cs="Arial Narrow" w:ascii="Arial Narrow" w:hAnsi="Arial Narrow"/>
          <w:sz w:val="20"/>
        </w:rPr>
        <w:t>" means the price at which Buyer, acting in a commercially reasonable manner, purchases substitute Energy not delivered by Seller (plus costs reasonably incurred by Buyer in purchasing substitute Energy, including additional transmission costs) or, absent a purchase, the market price for such quantity at such Delivery Point as determined by Buyer in a commercially reasonable manner; provided, however, in no event shall the Replacement Price include any penalties, ratcheted demand or similar charges or any stranded costs.</w:t>
      </w:r>
    </w:p>
    <w:p>
      <w:pPr>
        <w:pStyle w:val="Heading2"/>
        <w:tabs>
          <w:tab w:val="clear" w:pos="720"/>
          <w:tab w:val="left" w:pos="270" w:leader="none"/>
        </w:tabs>
        <w:spacing w:before="0" w:after="0"/>
        <w:ind w:hanging="0" w:start="0"/>
        <w:rPr/>
      </w:pPr>
      <w:r>
        <w:rPr>
          <w:rFonts w:cs="Arial Narrow" w:ascii="Arial Narrow" w:hAnsi="Arial Narrow"/>
          <w:sz w:val="20"/>
        </w:rPr>
        <w:t>"</w:t>
      </w:r>
      <w:r>
        <w:rPr>
          <w:rFonts w:cs="Arial Narrow" w:ascii="Arial Narrow" w:hAnsi="Arial Narrow"/>
          <w:i/>
          <w:sz w:val="20"/>
          <w:u w:val="single"/>
        </w:rPr>
        <w:t>Sales Price</w:t>
      </w:r>
      <w:r>
        <w:rPr>
          <w:rFonts w:cs="Arial Narrow" w:ascii="Arial Narrow" w:hAnsi="Arial Narrow"/>
          <w:sz w:val="20"/>
        </w:rPr>
        <w:t>" means the price at which Seller, acting in a commercially reasonable manner, resells or would be able to resell (if at all), the Energy not received by Buyer.</w:t>
      </w:r>
    </w:p>
    <w:p>
      <w:pPr>
        <w:pStyle w:val="Heading2"/>
        <w:tabs>
          <w:tab w:val="clear" w:pos="720"/>
          <w:tab w:val="left" w:pos="270" w:leader="none"/>
        </w:tabs>
        <w:spacing w:before="0" w:after="0"/>
        <w:ind w:hanging="0" w:start="0"/>
        <w:rPr/>
      </w:pPr>
      <w:r>
        <w:rPr>
          <w:rFonts w:cs="Arial Narrow" w:ascii="Arial Narrow" w:hAnsi="Arial Narrow"/>
          <w:i/>
          <w:sz w:val="20"/>
        </w:rPr>
        <w:t>"</w:t>
      </w:r>
      <w:r>
        <w:rPr>
          <w:rFonts w:cs="Arial Narrow" w:ascii="Arial Narrow" w:hAnsi="Arial Narrow"/>
          <w:i/>
          <w:sz w:val="20"/>
          <w:u w:val="single"/>
        </w:rPr>
        <w:t>Strike Price</w:t>
      </w:r>
      <w:r>
        <w:rPr>
          <w:rFonts w:cs="Arial Narrow" w:ascii="Arial Narrow" w:hAnsi="Arial Narrow"/>
          <w:i/>
          <w:sz w:val="20"/>
        </w:rPr>
        <w:t xml:space="preserve">" </w:t>
      </w:r>
      <w:r>
        <w:rPr>
          <w:rFonts w:cs="Arial Narrow" w:ascii="Arial Narrow" w:hAnsi="Arial Narrow"/>
          <w:sz w:val="20"/>
        </w:rPr>
        <w:t>means the price in $ U.S. (unless otherwise provided for) to be paid by the appropriate Party for the purchase of Energy pursuant to a Call Option or Put Option, as the case may be.</w:t>
      </w:r>
    </w:p>
    <w:p>
      <w:pPr>
        <w:pStyle w:val="Normal"/>
        <w:tabs>
          <w:tab w:val="clear" w:pos="720"/>
          <w:tab w:val="left" w:pos="270" w:leader="none"/>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pPr>
      <w:r>
        <w:rPr>
          <w:rFonts w:cs="Arial Narrow" w:ascii="Arial Narrow" w:hAnsi="Arial Narrow"/>
          <w:i/>
          <w:sz w:val="20"/>
        </w:rPr>
        <w:t>“</w:t>
      </w:r>
      <w:r>
        <w:rPr>
          <w:rFonts w:cs="Arial Narrow" w:ascii="Arial Narrow" w:hAnsi="Arial Narrow"/>
          <w:i/>
          <w:sz w:val="20"/>
          <w:u w:val="single"/>
        </w:rPr>
        <w:t>Taxes</w:t>
      </w:r>
      <w:r>
        <w:rPr>
          <w:rFonts w:cs="Arial Narrow" w:ascii="Arial Narrow" w:hAnsi="Arial Narrow"/>
          <w:i/>
          <w:sz w:val="20"/>
        </w:rPr>
        <w:t xml:space="preserve">” </w:t>
      </w:r>
      <w:r>
        <w:rPr/>
        <w:t>means any or all ad valorem, property, occupation, severance, generation, first use, conservation, Btu or energy, transmission, utility, gross receipts, priviledge, sales, use, consumption, excise, lease, transaction, and other taxes or, governmental charges, licenses, fees, permits and assessments, or increases therein, other than taxes based on net income or net worth.</w:t>
      </w:r>
    </w:p>
    <w:p>
      <w:pPr>
        <w:sectPr>
          <w:type w:val="continuous"/>
          <w:pgSz w:w="12200" w:h="15840"/>
          <w:pgMar w:left="1152" w:right="1095" w:gutter="0" w:header="720" w:top="864" w:footer="720" w:bottom="864"/>
          <w:cols w:num="2" w:space="708" w:equalWidth="true" w:sep="false"/>
          <w:formProt w:val="false"/>
          <w:textDirection w:val="lrTb"/>
          <w:docGrid w:type="default" w:linePitch="360" w:charSpace="0"/>
        </w:sectPr>
      </w:pPr>
    </w:p>
    <w:p>
      <w:pPr>
        <w:pStyle w:val="Normal"/>
        <w:rPr>
          <w:rFonts w:ascii="Courier New" w:hAnsi="Courier New" w:cs="Courier New"/>
          <w:b/>
          <w:sz w:val="20"/>
        </w:rPr>
      </w:pPr>
      <w:r>
        <w:rPr>
          <w:rFonts w:cs="Courier New" w:ascii="Courier New" w:hAnsi="Courier New"/>
          <w:b/>
          <w:sz w:val="20"/>
        </w:rPr>
      </w:r>
    </w:p>
    <w:sectPr>
      <w:headerReference w:type="default" r:id="rId11"/>
      <w:footerReference w:type="default" r:id="rId12"/>
      <w:type w:val="nextPage"/>
      <w:pgSz w:w="11906" w:h="15840"/>
      <w:pgMar w:left="1152" w:right="1095"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18"/>
      </w:rPr>
    </w:pPr>
    <w:r>
      <w:rPr/>
    </w:r>
  </w:p>
  <w:p>
    <w:pPr>
      <w:pStyle w:val="Footer"/>
      <w:jc w:val="center"/>
      <w:rPr>
        <w:rStyle w:val="PageNumber"/>
        <w:sz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4</w:t>
    </w:r>
    <w:r>
      <w:rPr>
        <w:rStyle w:val="PageNumber"/>
        <w:sz w:val="18"/>
      </w:rPr>
      <w:fldChar w:fldCharType="end"/>
    </w:r>
  </w:p>
  <w:p>
    <w:pPr>
      <w:pStyle w:val="Footer"/>
      <w:jc w:val="center"/>
      <w:rPr>
        <w:rStyle w:val="PageNumber"/>
        <w:sz w:val="18"/>
      </w:rPr>
    </w:pPr>
    <w:r>
      <w:rPr/>
    </w:r>
  </w:p>
  <w:p>
    <w:pPr>
      <w:pStyle w:val="Footer"/>
      <w:rPr>
        <w:rStyle w:val="PageNumber"/>
      </w:rPr>
    </w:pPr>
    <w:r>
      <w:rPr>
        <w:rStyle w:val="PageNumber"/>
        <w:sz w:val="18"/>
      </w:rPr>
      <w:t>Form Date: 9/99</w:t>
    </w:r>
  </w:p>
  <w:p>
    <w:pPr>
      <w:pStyle w:val="Footer"/>
      <w:rPr>
        <w:rStyle w:val="PageNumber"/>
        <w:sz w:val="18"/>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p>
    <w:pPr>
      <w:pStyle w:val="Footer"/>
      <w:jc w:val="center"/>
      <w:rPr>
        <w:rStyle w:val="PageNumber"/>
        <w:sz w:val="18"/>
      </w:rPr>
    </w:pPr>
    <w:r>
      <w:rPr/>
    </w:r>
  </w:p>
  <w:p>
    <w:pPr>
      <w:pStyle w:val="Footer"/>
      <w:rPr>
        <w:rStyle w:val="PageNumber"/>
        <w:sz w:val="18"/>
      </w:rPr>
    </w:pPr>
    <w:r>
      <w:rPr/>
    </w:r>
  </w:p>
  <w:p>
    <w:pPr>
      <w:pStyle w:val="Footer"/>
      <w:rPr>
        <w:rStyle w:val="PageNumber"/>
        <w:sz w:val="18"/>
      </w:rPr>
    </w:pPr>
    <w:r>
      <w:rPr/>
    </w:r>
  </w:p>
  <w:p>
    <w:pPr>
      <w:pStyle w:val="Footer"/>
      <w:rPr>
        <w:rStyle w:val="PageNumber"/>
        <w:sz w:val="18"/>
      </w:rPr>
    </w:pPr>
    <w:r>
      <w:rPr/>
    </w:r>
  </w:p>
  <w:p>
    <w:pPr>
      <w:pStyle w:val="Normal"/>
      <w:rPr>
        <w:rStyle w:val="PageNumber"/>
        <w:sz w:val="18"/>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Fonts w:ascii="Arial Narrow" w:hAnsi="Arial Narrow" w:cs="Arial Narrow"/>
        <w:sz w:val="18"/>
      </w:rPr>
    </w:pPr>
    <w:r>
      <w:rPr/>
    </w:r>
  </w:p>
  <w:p>
    <w:pPr>
      <w:pStyle w:val="Footer"/>
      <w:jc w:val="center"/>
      <w:rPr/>
    </w:pPr>
    <w:r>
      <w:rPr>
        <w:rStyle w:val="PageNumbe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r>
      <w:rPr>
        <w:rStyle w:val="PageNumber"/>
        <w:rFonts w:cs="Arial Narrow" w:ascii="Arial Narrow" w:hAnsi="Arial Narrow"/>
        <w:sz w:val="18"/>
      </w:rPr>
      <w:t xml:space="preserve"> of 5</w:t>
    </w:r>
  </w:p>
  <w:p>
    <w:pPr>
      <w:pStyle w:val="Footer"/>
      <w:jc w:val="center"/>
      <w:rPr>
        <w:rStyle w:val="PageNumber"/>
        <w:rFonts w:ascii="Arial Narrow" w:hAnsi="Arial Narrow" w:cs="Arial Narrow"/>
      </w:rPr>
    </w:pPr>
    <w:r>
      <w:rPr>
        <w:rStyle w:val="PageNumber"/>
        <w:rFonts w:cs="Arial Narrow" w:ascii="Arial Narrow" w:hAnsi="Arial Narrow"/>
        <w:sz w:val="18"/>
      </w:rPr>
      <w:t>Annex A</w:t>
    </w:r>
  </w:p>
  <w:p>
    <w:pPr>
      <w:pStyle w:val="Footer"/>
      <w:rPr/>
    </w:pPr>
    <w:r>
      <w:rPr>
        <w:rFonts w:eastAsia="Arial Narrow" w:cs="Arial Narrow" w:ascii="Arial Narrow" w:hAnsi="Arial Narrow"/>
        <w:sz w:val="18"/>
      </w:rPr>
      <w:t xml:space="preserve"> </w:t>
    </w:r>
    <w:r>
      <w:rPr>
        <w:rFonts w:cs="Arial Narrow" w:ascii="Arial Narrow" w:hAnsi="Arial Narrow"/>
        <w:sz w:val="18"/>
      </w:rPr>
      <w:t>Form Date 9/99</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rStyle w:val="PageNumber"/>
        <w:sz w:val="22"/>
      </w:rPr>
    </w:pPr>
    <w:r>
      <w:rPr>
        <w:rFonts w:eastAsia="Arial Narrow" w:cs="Arial Narrow" w:ascii="Arial Narrow" w:hAnsi="Arial Narrow"/>
        <w:smallCaps/>
        <w:sz w:val="18"/>
      </w:rPr>
      <w:t xml:space="preserve"> </w:t>
    </w:r>
    <w:r>
      <w:rPr>
        <w:rFonts w:cs="Arial Narrow" w:ascii="Arial Narrow" w:hAnsi="Arial Narrow"/>
        <w:smallCaps/>
        <w:sz w:val="18"/>
      </w:rPr>
      <w:tab/>
      <w:tab/>
    </w:r>
    <w:r>
      <w:rPr>
        <w:sz w:val="22"/>
      </w:rPr>
      <w:t>Deal No. __________</w:t>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smallCaps/>
        <w:sz w:val="18"/>
      </w:rPr>
      <w:tab/>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rStyle w:val="PageNumber"/>
        <w:sz w:val="22"/>
      </w:rPr>
    </w:pPr>
    <w:r>
      <w:rPr>
        <w:smallCaps/>
        <w:sz w:val="22"/>
      </w:rPr>
      <w:t xml:space="preserve">                                                                                                                                                             </w:t>
    </w:r>
    <w:r>
      <w:rPr>
        <w:smallCaps/>
        <w:sz w:val="22"/>
      </w:rPr>
      <w:tab/>
    </w:r>
    <w:r>
      <w:rPr>
        <w:sz w:val="22"/>
      </w:rPr>
      <w:t>Deal No. _____________</w:t>
    </w:r>
  </w:p>
  <w:p>
    <w:pPr>
      <w:pStyle w:val="Header"/>
      <w:tabs>
        <w:tab w:val="clear" w:pos="4320"/>
        <w:tab w:val="clear" w:pos="8640"/>
        <w:tab w:val="right" w:pos="9720" w:leader="none"/>
      </w:tabs>
      <w:jc w:val="center"/>
      <w:rPr/>
    </w:pPr>
    <w:r>
      <w:rPr>
        <w:rFonts w:cs="Arial Narrow" w:ascii="Arial Narrow" w:hAnsi="Arial Narrow"/>
        <w:b/>
        <w:smallCaps/>
        <w:sz w:val="18"/>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720" w:leader="none"/>
      </w:tabs>
      <w:jc w:val="both"/>
      <w:rPr/>
    </w:pPr>
    <w:r>
      <w:rPr>
        <w:sz w:val="22"/>
      </w:rPr>
      <w:t xml:space="preserve">                                                                                                                                     </w:t>
    </w:r>
    <w:r>
      <w:rPr>
        <w:sz w:val="22"/>
      </w:rPr>
      <w:t xml:space="preserve">Deal No. </w:t>
    </w:r>
    <w:r>
      <w:rPr>
        <w:sz w:val="22"/>
      </w:rPr>
      <w:fldChar w:fldCharType="begin"/>
    </w:r>
    <w:r>
      <w:rPr>
        <w:sz w:val="22"/>
      </w:rPr>
      <w:instrText xml:space="preserve"> TITLE </w:instrText>
    </w:r>
    <w:r>
      <w:rPr>
        <w:sz w:val="22"/>
      </w:rPr>
      <w:fldChar w:fldCharType="separate"/>
    </w:r>
    <w:r>
      <w:rPr>
        <w:sz w:val="22"/>
      </w:rPr>
      <w:t>478594.01</w:t>
    </w:r>
    <w:r>
      <w:rPr>
        <w:sz w:val="22"/>
      </w:rPr>
      <w:fldChar w:fldCharType="end"/>
    </w:r>
    <w:r>
      <w:rPr>
        <w:rFonts w:cs="Arial Narrow" w:ascii="Arial Narrow" w:hAnsi="Arial Narrow"/>
        <w:smallCaps/>
        <w:sz w:val="18"/>
      </w:rPr>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 w:val="left" w:pos="7470" w:leader="none"/>
      </w:tabs>
      <w:rPr/>
    </w:pPr>
    <w:r>
      <w:rPr/>
      <w:tab/>
      <w:tab/>
    </w:r>
    <w:r>
      <w:rPr>
        <w:rFonts w:cs="Courier New" w:ascii="Courier New" w:hAnsi="Courier New"/>
        <w:b/>
        <w:sz w:val="20"/>
      </w:rPr>
      <w:t xml:space="preserve">                     </w:t>
    </w:r>
  </w:p>
  <w:p>
    <w:pPr>
      <w:pStyle w:val="Header"/>
      <w:tabs>
        <w:tab w:val="clear" w:pos="8640"/>
        <w:tab w:val="center" w:pos="4320" w:leader="none"/>
        <w:tab w:val="right" w:pos="7200" w:leader="none"/>
        <w:tab w:val="left" w:pos="7470" w:leader="none"/>
      </w:tabs>
      <w:rPr>
        <w:rFonts w:ascii="Courier New" w:hAnsi="Courier New" w:cs="Courier New"/>
        <w:b/>
        <w:sz w:val="20"/>
      </w:rPr>
    </w:pPr>
    <w:r>
      <w:rPr>
        <w:rFonts w:cs="Courier New" w:ascii="Courier New" w:hAnsi="Courier New"/>
        <w:b/>
        <w:sz w:val="20"/>
      </w:rPr>
    </w:r>
  </w:p>
  <w:p>
    <w:pPr>
      <w:pStyle w:val="Header"/>
      <w:tabs>
        <w:tab w:val="clear" w:pos="8640"/>
        <w:tab w:val="center" w:pos="4320" w:leader="none"/>
        <w:tab w:val="right" w:pos="7200" w:leader="none"/>
        <w:tab w:val="left" w:pos="7470" w:leader="none"/>
      </w:tabs>
      <w:rPr>
        <w:rFonts w:ascii="Courier New" w:hAnsi="Courier New" w:cs="Courier New"/>
        <w:b/>
        <w:sz w:val="20"/>
      </w:rPr>
    </w:pPr>
    <w:r>
      <w:rPr>
        <w:rFonts w:eastAsia="Courier New" w:cs="Courier New" w:ascii="Courier New" w:hAnsi="Courier New"/>
        <w:b/>
        <w:sz w:val="20"/>
      </w:rPr>
      <w:t xml:space="preserve">  </w:t>
    </w:r>
    <w:r>
      <w:rPr>
        <w:rFonts w:cs="Courier New" w:ascii="Courier New" w:hAnsi="Courier New"/>
        <w:b/>
        <w:sz w:val="20"/>
      </w:rPr>
      <w:tab/>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Letter"/>
      <w:lvlText w:val="%1."/>
      <w:lvlJc w:val="start"/>
      <w:pPr>
        <w:tabs>
          <w:tab w:val="num" w:pos="1080"/>
        </w:tabs>
        <w:ind w:start="1080" w:hanging="360"/>
      </w:pPr>
      <w:rPr/>
    </w:lvl>
  </w:abstractNum>
  <w:abstractNum w:abstractNumId="3">
    <w:lvl w:ilvl="0">
      <w:start w:val="1"/>
      <w:numFmt w:val="decimal"/>
      <w:lvlText w:val="%1."/>
      <w:lvlJc w:val="start"/>
      <w:pPr>
        <w:tabs>
          <w:tab w:val="num" w:pos="360"/>
        </w:tabs>
        <w:ind w:start="360" w:hanging="360"/>
      </w:pPr>
    </w:lvl>
  </w:abstractNum>
  <w:abstractNum w:abstractNumId="4">
    <w:lvl w:ilvl="0">
      <w:start w:val="3"/>
      <w:numFmt w:val="lowerLetter"/>
      <w:lvlText w:val="(%1)"/>
      <w:lvlJc w:val="start"/>
      <w:pPr>
        <w:tabs>
          <w:tab w:val="num" w:pos="360"/>
        </w:tabs>
        <w:ind w:start="360" w:hanging="360"/>
      </w:pPr>
      <w:rPr/>
    </w:lvl>
  </w:abstractNum>
  <w:abstractNum w:abstractNumId="5">
    <w:lvl w:ilvl="0">
      <w:start w:val="2"/>
      <w:numFmt w:val="lowerLetter"/>
      <w:lvlText w:val="(%1)"/>
      <w:lvlJc w:val="start"/>
      <w:pPr>
        <w:tabs>
          <w:tab w:val="num" w:pos="360"/>
        </w:tabs>
        <w:ind w:start="360" w:hanging="360"/>
      </w:pPr>
      <w:rPr/>
    </w:lvl>
  </w:abstractNum>
  <w:abstractNum w:abstractNumId="6">
    <w:lvl w:ilvl="0">
      <w:start w:val="6"/>
      <w:numFmt w:val="decimal"/>
      <w:lvlText w:val="%1."/>
      <w:lvlJc w:val="start"/>
      <w:pPr>
        <w:tabs>
          <w:tab w:val="num" w:pos="360"/>
        </w:tabs>
        <w:ind w:start="0" w:hanging="0"/>
      </w:pPr>
    </w:lvl>
  </w:abstractNum>
  <w:abstractNum w:abstractNumId="7">
    <w:lvl w:ilvl="0">
      <w:start w:val="1"/>
      <w:numFmt w:val="decimal"/>
      <w:lvlText w:val="%1."/>
      <w:lvlJc w:val="start"/>
      <w:pPr>
        <w:tabs>
          <w:tab w:val="num" w:pos="360"/>
        </w:tabs>
        <w:ind w:start="360" w:hanging="360"/>
      </w:pPr>
    </w:lvl>
  </w:abstractNum>
  <w:abstractNum w:abstractNumId="8">
    <w:lvl w:ilvl="0">
      <w:start w:val="7"/>
      <w:numFmt w:val="decimal"/>
      <w:lvlText w:val="%1."/>
      <w:lvlJc w:val="start"/>
      <w:pPr>
        <w:tabs>
          <w:tab w:val="num" w:pos="360"/>
        </w:tabs>
        <w:ind w:start="360" w:hanging="360"/>
      </w:pPr>
    </w:lvl>
  </w:abstractNum>
  <w:abstractNum w:abstractNumId="9">
    <w:lvl w:ilvl="0">
      <w:start w:val="2"/>
      <w:numFmt w:val="low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outlineLvl w:val="0"/>
    </w:pPr>
    <w:rPr>
      <w:b/>
      <w:sz w:val="20"/>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center"/>
      <w:outlineLvl w:val="3"/>
    </w:pPr>
    <w:rPr>
      <w:b/>
      <w:sz w:val="20"/>
    </w:rPr>
  </w:style>
  <w:style w:type="paragraph" w:styleId="Heading6">
    <w:name w:val="heading 6"/>
    <w:basedOn w:val="Normal"/>
    <w:next w:val="BodyText"/>
    <w:qFormat/>
    <w:pPr>
      <w:numPr>
        <w:ilvl w:val="5"/>
        <w:numId w:val="1"/>
      </w:numPr>
      <w:spacing w:before="0" w:after="120"/>
      <w:ind w:hanging="0" w:start="720" w:end="0"/>
      <w:jc w:val="both"/>
      <w:outlineLvl w:val="5"/>
    </w:pPr>
    <w:rPr>
      <w:sz w:val="22"/>
    </w:rPr>
  </w:style>
  <w:style w:type="character" w:styleId="WW8Num1z0">
    <w:name w:val="WW8Num1z0"/>
    <w:qFormat/>
    <w:rPr/>
  </w:style>
  <w:style w:type="character" w:styleId="WW8Num3z0">
    <w:name w:val="WW8Num3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5z0">
    <w:name w:val="WW8Num15z0"/>
    <w:qFormat/>
    <w:rPr>
      <w:u w:val="single"/>
    </w:rPr>
  </w:style>
  <w:style w:type="character" w:styleId="WW8Num16z0">
    <w:name w:val="WW8Num16z0"/>
    <w:qFormat/>
    <w:rPr/>
  </w:style>
  <w:style w:type="character" w:styleId="WW8Num19z0">
    <w:name w:val="WW8Num19z0"/>
    <w:qFormat/>
    <w:rPr/>
  </w:style>
  <w:style w:type="character" w:styleId="WW8Num20z0">
    <w:name w:val="WW8Num2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945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2"/>
    </w:rPr>
  </w:style>
  <w:style w:type="paragraph" w:styleId="BodyText2">
    <w:name w:val="Body Text 2"/>
    <w:basedOn w:val="Normal"/>
    <w:qFormat/>
    <w:pPr>
      <w:tabs>
        <w:tab w:val="clear" w:pos="720"/>
        <w:tab w:val="left" w:pos="7362" w:leader="none"/>
      </w:tabs>
    </w:pPr>
    <w:rPr>
      <w:rFonts w:ascii="Arial" w:hAnsi="Arial" w:cs="Arial"/>
      <w:i/>
      <w:sz w:val="20"/>
    </w:rPr>
  </w:style>
  <w:style w:type="paragraph" w:styleId="BodyTextIndent">
    <w:name w:val="Body Text Indent"/>
    <w:basedOn w:val="Normal"/>
    <w:p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ind w:firstLine="720" w:start="0" w:end="0"/>
      <w:jc w:val="both"/>
    </w:pPr>
    <w:rPr>
      <w:b/>
      <w:sz w:val="20"/>
    </w:rPr>
  </w:style>
  <w:style w:type="paragraph" w:styleId="BodyTextIndent3">
    <w:name w:val="Body Text Indent 3"/>
    <w:basedOn w:val="Normal"/>
    <w:qFormat/>
    <w:pPr>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0" w:start="2160" w:end="0"/>
      <w:jc w:val="both"/>
    </w:pPr>
    <w:rPr>
      <w:sz w:val="20"/>
    </w:rPr>
  </w:style>
  <w:style w:type="paragraph" w:styleId="BodyTextIndent2">
    <w:name w:val="Body Text Indent 2"/>
    <w:basedOn w:val="Normal"/>
    <w:qFormat/>
    <w:pPr>
      <w:spacing w:before="120" w:after="0"/>
      <w:ind w:firstLine="1440" w:start="0" w:end="0"/>
      <w:jc w:val="both"/>
    </w:pPr>
    <w:rPr>
      <w:sz w:val="20"/>
    </w:rPr>
  </w:style>
  <w:style w:type="paragraph" w:styleId="BodyText3">
    <w:name w:val="Body Text 3"/>
    <w:basedOn w:val="Normal"/>
    <w:qFormat/>
    <w:pPr/>
    <w:rPr>
      <w:rFonts w:ascii="Arial Narrow" w:hAnsi="Arial Narrow" w:cs="Arial Narrow"/>
      <w:sz w:val="2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2000-12-12T18:17:00Z</dcterms:created>
  <dc:creator> </dc:creator>
  <dc:description/>
  <dc:language>en-CA</dc:language>
  <cp:lastModifiedBy>dportz</cp:lastModifiedBy>
  <cp:lastPrinted>2000-12-12T17:13:00Z</cp:lastPrinted>
  <dcterms:modified xsi:type="dcterms:W3CDTF">2000-12-12T20:43:00Z</dcterms:modified>
  <cp:revision>52</cp:revision>
  <dc:subject/>
  <dc:title>478594.01</dc:title>
</cp:coreProperties>
</file>