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Bruce C. Rudy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Bio and Accomplishments</w:t>
      </w:r>
    </w:p>
    <w:p>
      <w:pPr>
        <w:pStyle w:val="Heading1"/>
        <w:ind w:hanging="0" w:start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</w:r>
    </w:p>
    <w:p>
      <w:pPr>
        <w:pStyle w:val="Heading2"/>
        <w:spacing w:before="0" w:after="120"/>
        <w:ind w:hanging="0" w:start="0"/>
        <w:rPr>
          <w:sz w:val="22"/>
        </w:rPr>
      </w:pPr>
      <w:r>
        <w:rPr>
          <w:sz w:val="22"/>
        </w:rPr>
        <w:t>Education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Graduated cum laude from the University of Texas (12/95) with BBA in The Engineering Route to Business (focus on Mechanical Engineering and Marketing)</w:t>
      </w:r>
    </w:p>
    <w:p>
      <w:pPr>
        <w:pStyle w:val="Heading2"/>
        <w:spacing w:before="120" w:after="120"/>
        <w:ind w:hanging="0" w:start="0"/>
        <w:rPr>
          <w:sz w:val="22"/>
        </w:rPr>
      </w:pPr>
      <w:r>
        <w:rPr>
          <w:sz w:val="22"/>
        </w:rPr>
        <w:t>Work Experience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 Summer Analyst (6/95 – 8/95)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260" w:leader="none"/>
        </w:tabs>
        <w:ind w:hanging="540" w:start="1440" w:end="0"/>
        <w:rPr>
          <w:sz w:val="22"/>
        </w:rPr>
      </w:pPr>
      <w:r>
        <w:rPr>
          <w:sz w:val="22"/>
        </w:rPr>
        <w:t>Texas and East Desk Gas Trading (Barbara Dilliard)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Worked posting and settling financial commodity transactions on the NYMEX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Joined Enron full time as Analyst (1/96)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260" w:leader="none"/>
        </w:tabs>
        <w:ind w:hanging="540" w:start="1440" w:end="0"/>
        <w:rPr>
          <w:sz w:val="22"/>
        </w:rPr>
      </w:pPr>
      <w:r>
        <w:rPr>
          <w:sz w:val="22"/>
        </w:rPr>
        <w:t>1st Rotation (1/96 – 1/97): Domestic Gas Assets (Steve Smaby)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Performed due diligence and modeled Tenneco and Valero acquisition efforts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260" w:leader="none"/>
        </w:tabs>
        <w:ind w:hanging="540" w:start="1440" w:end="0"/>
        <w:rPr>
          <w:sz w:val="22"/>
        </w:rPr>
      </w:pPr>
      <w:r>
        <w:rPr>
          <w:sz w:val="22"/>
        </w:rPr>
        <w:t>2nd Rotation (1/97 – 6/97): Enron Energy Services (Craig Sutter)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Researched and analyzed hospital partnership opportunities in Northeast US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260" w:leader="none"/>
        </w:tabs>
        <w:ind w:hanging="540" w:start="1440" w:end="0"/>
        <w:rPr>
          <w:sz w:val="22"/>
        </w:rPr>
      </w:pPr>
      <w:r>
        <w:rPr>
          <w:sz w:val="22"/>
        </w:rPr>
        <w:t>3rd Rotation (6/97 – 8/98): Enron Finance Corp, Denver (Clifford Hickey)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Researched, modeled and led the Enron approval process on over $1B worth of producer financings and closed approximately $200MM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Promoted to Associate (8/98)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260" w:leader="none"/>
        </w:tabs>
        <w:ind w:hanging="540" w:start="1440" w:end="0"/>
        <w:rPr>
          <w:sz w:val="22"/>
        </w:rPr>
      </w:pPr>
      <w:r>
        <w:rPr>
          <w:sz w:val="22"/>
        </w:rPr>
        <w:t>1st Rotation (8/98 – 3/99): Enron Finance Corp, Denver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260" w:leader="none"/>
        </w:tabs>
        <w:ind w:hanging="540" w:start="1440" w:end="0"/>
        <w:rPr>
          <w:sz w:val="22"/>
        </w:rPr>
      </w:pPr>
      <w:r>
        <w:rPr>
          <w:sz w:val="22"/>
        </w:rPr>
        <w:t>2nd Rotation (3/99 – 9/99): Enron Australia (Joe Hirl)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Recruited and led the five member Analyst/Associate team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Developed bidding strategy for National Electricity Market’s Interregional Settlements Auction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260" w:leader="none"/>
        </w:tabs>
        <w:ind w:hanging="540" w:start="1440" w:end="0"/>
        <w:rPr>
          <w:sz w:val="22"/>
        </w:rPr>
      </w:pPr>
      <w:r>
        <w:rPr>
          <w:sz w:val="22"/>
        </w:rPr>
        <w:t>3rd Rotation (9/99 – 3/00): Enron Broadband Services (Kevin Howard)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Developed economics for business plan for the Enron Intelligent Network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Modeled economics on the Project Mercury ISP Fund (Larry Lawyer)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Promoted to Manager (3/00) and granted six-month leave of absence to act as interim CFO of family business: Cetan Technologies (formerly Pharmcomm, Inc., a computer-systems validation company focusing on the pharmaceutical sector)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260" w:leader="none"/>
        </w:tabs>
        <w:ind w:hanging="540" w:start="1440" w:end="0"/>
        <w:rPr>
          <w:sz w:val="22"/>
        </w:rPr>
      </w:pPr>
      <w:r>
        <w:rPr>
          <w:sz w:val="22"/>
        </w:rPr>
        <w:t>As interim CFO: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Sold non-core businesses and negotiated bridge financing to overcome short-term cash shortfall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Developed and wrote business plan for Cetan as it looked to expand beyond the pharmaceutical sector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Recruited and hired permanent CFO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Developed and wrote business plan for CROdex, a start-up B2B exchange bringing together pharmaceutical companies and contract research organizations (CROs)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Returned to Enron as Manager (10/00)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260" w:leader="none"/>
        </w:tabs>
        <w:ind w:hanging="360" w:start="1260" w:end="0"/>
        <w:rPr>
          <w:sz w:val="22"/>
        </w:rPr>
      </w:pPr>
      <w:r>
        <w:rPr>
          <w:sz w:val="22"/>
        </w:rPr>
        <w:t>Crestone Energy Ventures, LLC (Brian Bierbach); a Denver-based MLP owned by Northern Border Partners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Manager, Business Development for Crestone’s Wind River Basin assets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 xml:space="preserve">Closed first transaction (Howell Petroleum) in my first month with the group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­"/>
      <w:lvlJc w:val="start"/>
      <w:pPr>
        <w:tabs>
          <w:tab w:val="num" w:pos="720"/>
        </w:tabs>
        <w:ind w:star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2000-12-05T22:19:00Z</dcterms:created>
  <dc:creator>brudy</dc:creator>
  <dc:description/>
  <dc:language>en-CA</dc:language>
  <cp:lastModifiedBy>brudy</cp:lastModifiedBy>
  <cp:lastPrinted>2000-12-07T08:11:00Z</cp:lastPrinted>
  <dcterms:modified xsi:type="dcterms:W3CDTF">2000-12-07T12:48:00Z</dcterms:modified>
  <cp:revision>17</cp:revision>
  <dc:subject/>
  <dc:title>Bruce C</dc:title>
</cp:coreProperties>
</file>