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b/>
          <w:sz w:val="24"/>
        </w:rPr>
        <w:t>NATURAL GAS TOLLING AGREEMENT</w:t>
      </w:r>
    </w:p>
    <w:p>
      <w:pPr>
        <w:pStyle w:val="Justified"/>
        <w:spacing w:before="240" w:after="0"/>
        <w:ind w:firstLine="720" w:end="0"/>
        <w:jc w:val="both"/>
        <w:rPr/>
      </w:pPr>
      <w:r>
        <w:rPr>
          <w:sz w:val="24"/>
        </w:rPr>
        <w:t xml:space="preserve">This Natural Gas Tolling Agreement ("Agreement"), effective as of May 17, 1999 (the "Effective Date"), is entered into by and between </w:t>
      </w:r>
      <w:r>
        <w:rPr>
          <w:b/>
          <w:sz w:val="24"/>
        </w:rPr>
        <w:t>Enron Power Marketing, Inc</w:t>
      </w:r>
      <w:r>
        <w:rPr>
          <w:sz w:val="24"/>
        </w:rPr>
        <w:t xml:space="preserve">., a Delaware corporation ("EPMI"), and </w:t>
      </w:r>
      <w:r>
        <w:rPr>
          <w:b/>
          <w:sz w:val="24"/>
        </w:rPr>
        <w:t>SCC-L1, L.L.C.</w:t>
      </w:r>
      <w:r>
        <w:rPr>
          <w:sz w:val="24"/>
        </w:rPr>
        <w:t xml:space="preserve">, a Delaware limited liability company (a/k/a "BROWNSVILLE").  EPMI and BROWNSVILLE are sometimes referred to herein individually as a "Party" and collectively as the "Parties."  </w:t>
      </w:r>
    </w:p>
    <w:p>
      <w:pPr>
        <w:pStyle w:val="Heading2"/>
        <w:spacing w:before="120" w:after="0"/>
        <w:ind w:hanging="0" w:end="0"/>
        <w:jc w:val="center"/>
        <w:rPr/>
      </w:pPr>
      <w:r>
        <w:rPr>
          <w:b/>
          <w:sz w:val="24"/>
        </w:rPr>
        <w:t>Recitals</w:t>
      </w:r>
      <w:r>
        <w:rPr>
          <w:sz w:val="24"/>
        </w:rPr>
        <w:t>:</w:t>
      </w:r>
    </w:p>
    <w:p>
      <w:pPr>
        <w:pStyle w:val="Justified"/>
        <w:spacing w:before="120" w:after="0"/>
        <w:ind w:firstLine="720" w:end="0"/>
        <w:jc w:val="both"/>
        <w:rPr>
          <w:sz w:val="24"/>
        </w:rPr>
      </w:pPr>
      <w:r>
        <w:rPr>
          <w:sz w:val="24"/>
        </w:rPr>
        <w:t>A.</w:t>
        <w:tab/>
        <w:t xml:space="preserve">EPMI desires to have the right to deliver, or to have delivered on its behalf, from time to time, quantities of natural gas to BROWNSVILLE’s electric generating facility located in Brownsville, Tennessee, for use by BROWNSVILLE in tolling, or converting, such natural gas into electric energy, which energy shall be delivered by BROWNSVILLE to EPMI (each, a "Tolling Transaction").  </w:t>
      </w:r>
    </w:p>
    <w:p>
      <w:pPr>
        <w:pStyle w:val="Justified"/>
        <w:spacing w:before="120" w:after="0"/>
        <w:ind w:firstLine="720" w:end="0"/>
        <w:jc w:val="both"/>
        <w:rPr>
          <w:sz w:val="24"/>
        </w:rPr>
      </w:pPr>
      <w:r>
        <w:rPr>
          <w:sz w:val="24"/>
        </w:rPr>
        <w:t>B.</w:t>
        <w:tab/>
        <w:t>BROWNSVILLE desires to engage in Tolling Transactions on an exclusive basis, under the terms and provisions hereinafter set forth.</w:t>
      </w:r>
    </w:p>
    <w:p>
      <w:pPr>
        <w:pStyle w:val="Heading2"/>
        <w:spacing w:before="120" w:after="0"/>
        <w:jc w:val="both"/>
        <w:rPr>
          <w:sz w:val="24"/>
        </w:rPr>
      </w:pPr>
      <w:r>
        <w:rPr>
          <w:sz w:val="24"/>
        </w:rPr>
        <w:t>NOW, THEREFORE, in consideration of the Parties’ respective obligations herein, and other good and valuable consideration, the receipt and sufficiency of which are hereby acknowledged by the Parties, the Parties hereby agree as follows:</w:t>
      </w:r>
    </w:p>
    <w:p>
      <w:pPr>
        <w:pStyle w:val="Heading1"/>
        <w:spacing w:before="120" w:after="0"/>
        <w:ind w:hanging="0" w:start="0"/>
        <w:rPr/>
      </w:pPr>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1</w:t>
      </w:r>
      <w:r>
        <w:rPr>
          <w:sz w:val="24"/>
        </w:rPr>
        <w:fldChar w:fldCharType="end"/>
      </w:r>
      <w:r>
        <w:rPr>
          <w:sz w:val="24"/>
        </w:rPr>
        <w:br/>
        <w:t>DEFINITIONS</w:t>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2</w:t>
      </w:r>
      <w:r>
        <w:rPr>
          <w:sz w:val="24"/>
        </w:rPr>
        <w:fldChar w:fldCharType="end"/>
      </w:r>
      <w:r>
        <w:rPr>
          <w:sz w:val="24"/>
        </w:rPr>
        <w:tab/>
      </w:r>
      <w:r>
        <w:rPr>
          <w:b/>
          <w:sz w:val="24"/>
          <w:u w:val="single"/>
        </w:rPr>
        <w:t>Definitions</w:t>
      </w:r>
      <w:r>
        <w:rPr>
          <w:sz w:val="24"/>
        </w:rPr>
        <w:t>.  As used in this Agreement, the following terms shall have the respective meanings set forth below.  Certain other capitalized terms are defined where they appear in this Agreement.</w:t>
      </w:r>
    </w:p>
    <w:p>
      <w:pPr>
        <w:pStyle w:val="Justified"/>
        <w:spacing w:before="120" w:after="0"/>
        <w:ind w:firstLine="720" w:end="0"/>
        <w:jc w:val="both"/>
        <w:rPr/>
      </w:pPr>
      <w:r>
        <w:rPr>
          <w:b/>
          <w:i/>
          <w:sz w:val="24"/>
        </w:rPr>
        <w:t>"Claims"</w:t>
      </w:r>
      <w:r>
        <w:rPr>
          <w:sz w:val="24"/>
        </w:rPr>
        <w:t xml:space="preserve">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spacing w:before="120" w:after="0"/>
        <w:ind w:firstLine="720" w:end="0"/>
        <w:jc w:val="both"/>
        <w:rPr>
          <w:b/>
          <w:i/>
          <w:i/>
          <w:sz w:val="24"/>
        </w:rPr>
      </w:pPr>
      <w:r>
        <w:rPr>
          <w:b/>
          <w:i/>
          <w:sz w:val="24"/>
        </w:rPr>
        <w:t>"Commercial Operations"</w:t>
      </w:r>
      <w:r>
        <w:rPr>
          <w:sz w:val="24"/>
        </w:rPr>
        <w:t xml:space="preserve"> shall mean the ability of the Facility to produce Energy of sufficient quantity and for sufficient duration that such Energy can be sold into the commercial marketplace.</w:t>
      </w:r>
    </w:p>
    <w:p>
      <w:pPr>
        <w:pStyle w:val="Justified"/>
        <w:spacing w:before="120" w:after="0"/>
        <w:ind w:firstLine="720" w:end="0"/>
        <w:jc w:val="both"/>
        <w:rPr/>
      </w:pPr>
      <w:r>
        <w:rPr>
          <w:b/>
          <w:i/>
          <w:sz w:val="24"/>
        </w:rPr>
        <w:t>"Defaulting Party"</w:t>
      </w:r>
      <w:r>
        <w:rPr>
          <w:sz w:val="24"/>
        </w:rPr>
        <w:t xml:space="preserve"> shall have the meaning set forth in Section 5.1.</w:t>
      </w:r>
    </w:p>
    <w:p>
      <w:pPr>
        <w:pStyle w:val="Justified"/>
        <w:spacing w:before="120" w:after="0"/>
        <w:ind w:firstLine="720" w:end="0"/>
        <w:jc w:val="both"/>
        <w:rPr/>
      </w:pPr>
      <w:r>
        <w:rPr>
          <w:b/>
          <w:i/>
          <w:sz w:val="24"/>
        </w:rPr>
        <w:t>"Delivery Point"</w:t>
      </w:r>
      <w:r>
        <w:rPr>
          <w:sz w:val="24"/>
        </w:rPr>
        <w:t xml:space="preserve"> shall mean the Gas Delivery Point or the Energy Delivery Point, as the case may be.</w:t>
      </w:r>
    </w:p>
    <w:p>
      <w:pPr>
        <w:pStyle w:val="Justified"/>
        <w:spacing w:before="120" w:after="0"/>
        <w:ind w:firstLine="720" w:end="0"/>
        <w:jc w:val="both"/>
        <w:rPr/>
      </w:pPr>
      <w:r>
        <w:rPr>
          <w:b/>
          <w:i/>
          <w:sz w:val="24"/>
        </w:rPr>
        <w:t>"Early Termination Date"</w:t>
      </w:r>
      <w:r>
        <w:rPr>
          <w:sz w:val="24"/>
        </w:rPr>
        <w:t xml:space="preserve"> shall have the meaning set forth in Section 5.2.</w:t>
      </w:r>
    </w:p>
    <w:p>
      <w:pPr>
        <w:pStyle w:val="Heading2"/>
        <w:spacing w:before="120" w:after="0"/>
        <w:jc w:val="both"/>
        <w:rPr>
          <w:b/>
          <w:i/>
          <w:i/>
          <w:sz w:val="24"/>
        </w:rPr>
      </w:pPr>
      <w:r>
        <w:rPr>
          <w:b/>
          <w:i/>
          <w:sz w:val="24"/>
        </w:rPr>
        <w:t>"Effective Date"</w:t>
      </w:r>
      <w:r>
        <w:rPr>
          <w:sz w:val="24"/>
        </w:rPr>
        <w:t xml:space="preserve"> shall mean the date of this Agreement.</w:t>
      </w:r>
    </w:p>
    <w:p>
      <w:pPr>
        <w:pStyle w:val="Heading2"/>
        <w:spacing w:before="120" w:after="0"/>
        <w:jc w:val="both"/>
        <w:rPr/>
      </w:pPr>
      <w:r>
        <w:rPr>
          <w:b/>
          <w:i/>
          <w:sz w:val="24"/>
        </w:rPr>
        <w:t>"Energy"</w:t>
      </w:r>
      <w:r>
        <w:rPr>
          <w:sz w:val="24"/>
        </w:rPr>
        <w:t xml:space="preserve"> shall mean electric power, measured in MW.</w:t>
      </w:r>
    </w:p>
    <w:p>
      <w:pPr>
        <w:pStyle w:val="Justified"/>
        <w:spacing w:before="120" w:after="0"/>
        <w:ind w:firstLine="720" w:end="0"/>
        <w:jc w:val="both"/>
        <w:rPr/>
      </w:pPr>
      <w:r>
        <w:rPr>
          <w:b/>
          <w:i/>
          <w:sz w:val="24"/>
        </w:rPr>
        <w:t>"Energy Delivery Point"</w:t>
      </w:r>
      <w:r>
        <w:rPr>
          <w:sz w:val="24"/>
        </w:rPr>
        <w:t xml:space="preserve"> shall mean the high voltage side of the Haywood switching station.</w:t>
      </w:r>
    </w:p>
    <w:p>
      <w:pPr>
        <w:pStyle w:val="Justified"/>
        <w:spacing w:before="120" w:after="0"/>
        <w:ind w:firstLine="720" w:end="0"/>
        <w:jc w:val="both"/>
        <w:rPr/>
      </w:pPr>
      <w:r>
        <w:rPr>
          <w:b/>
          <w:i/>
          <w:sz w:val="24"/>
        </w:rPr>
        <w:t>"Event of Default"</w:t>
      </w:r>
      <w:r>
        <w:rPr>
          <w:sz w:val="24"/>
        </w:rPr>
        <w:t xml:space="preserve"> shall have the meaning set forth in Section 5.1.</w:t>
      </w:r>
    </w:p>
    <w:p>
      <w:pPr>
        <w:pStyle w:val="Justified"/>
        <w:spacing w:before="120" w:after="0"/>
        <w:ind w:firstLine="720" w:end="0"/>
        <w:jc w:val="both"/>
        <w:rPr/>
      </w:pPr>
      <w:r>
        <w:rPr>
          <w:b/>
          <w:i/>
          <w:sz w:val="24"/>
        </w:rPr>
        <w:t xml:space="preserve">"Facility" </w:t>
      </w:r>
      <w:r>
        <w:rPr>
          <w:sz w:val="24"/>
        </w:rPr>
        <w:t>shall mean the approximately 500 MW power station (comprised of two Westinghouse 501 D5A water-injected gas combustion turbines and two Westinghouse 501D steam-injected gas combustion turbines), located in Brownsville, Tennessee, and all energy-producing equipment, auxiliary equipment, fuel storage and handling facilities and equipment, electrical transformers, Brownsville interconnection facilities and metering facilities.</w:t>
      </w:r>
    </w:p>
    <w:p>
      <w:pPr>
        <w:pStyle w:val="Justified"/>
        <w:spacing w:before="120" w:after="0"/>
        <w:ind w:firstLine="720" w:end="0"/>
        <w:jc w:val="both"/>
        <w:rPr/>
      </w:pPr>
      <w:r>
        <w:rPr>
          <w:b/>
          <w:i/>
          <w:sz w:val="24"/>
        </w:rPr>
        <w:t xml:space="preserve">"Facility Start" </w:t>
      </w:r>
      <w:r>
        <w:rPr>
          <w:sz w:val="24"/>
        </w:rPr>
        <w:t>shall mean designation, in a Dispatch Schedule, of the Facility for Start-Up.</w:t>
      </w:r>
    </w:p>
    <w:p>
      <w:pPr>
        <w:pStyle w:val="Justified"/>
        <w:spacing w:before="120" w:after="0"/>
        <w:ind w:firstLine="720" w:end="0"/>
        <w:jc w:val="both"/>
        <w:rPr/>
      </w:pPr>
      <w:r>
        <w:rPr>
          <w:b/>
          <w:i/>
          <w:sz w:val="24"/>
        </w:rPr>
        <w:t>"Force Majeure"</w:t>
      </w:r>
      <w:r>
        <w:rPr>
          <w:sz w:val="24"/>
        </w:rPr>
        <w:t xml:space="preserve"> shall mean an event not anticipated as of the Effective Date, which is not within the reasonable control of the Party (or in the case of third party obligations or facilities, the third party) claiming suspension (the "Claiming Party"), and which by the exercise of due diligence the Claiming Party, or third party, is unable to overcome or obtain or cause to be obtained a commercially reasonable substitute therefor.  Events of Force Majeure may include, but are not restricted to: acts of God; fire; explosion; civil disturbance; labor dispute; labor or material shortage; sabotage; action or restraint by court order or public or governmental authority (so long as the Claiming Party has not applied for or assisted in the application for, and has opposed where and to the extent reasonable, such government action); </w:t>
      </w:r>
      <w:r>
        <w:rPr>
          <w:i/>
          <w:sz w:val="24"/>
        </w:rPr>
        <w:t>provided,</w:t>
      </w:r>
      <w:r>
        <w:rPr>
          <w:sz w:val="24"/>
        </w:rPr>
        <w:t xml:space="preserve"> that neither (a) the loss of EPMI's markets nor EPMI's inability economically to use or resell energy purchased hereunder shall constitute an event of Force Majeure. </w:t>
      </w:r>
    </w:p>
    <w:p>
      <w:pPr>
        <w:pStyle w:val="Heading2"/>
        <w:spacing w:before="120" w:after="0"/>
        <w:jc w:val="both"/>
        <w:rPr/>
      </w:pPr>
      <w:r>
        <w:rPr>
          <w:b/>
          <w:i/>
          <w:sz w:val="24"/>
        </w:rPr>
        <w:t>"Gas"</w:t>
      </w:r>
      <w:r>
        <w:rPr>
          <w:sz w:val="24"/>
        </w:rPr>
        <w:t xml:space="preserve"> shall mean natural gas.</w:t>
      </w:r>
    </w:p>
    <w:p>
      <w:pPr>
        <w:pStyle w:val="Justified"/>
        <w:spacing w:before="120" w:after="0"/>
        <w:ind w:firstLine="720" w:end="0"/>
        <w:jc w:val="both"/>
        <w:rPr/>
      </w:pPr>
      <w:r>
        <w:rPr>
          <w:b/>
          <w:i/>
          <w:sz w:val="24"/>
        </w:rPr>
        <w:t>"Gas Delivery Point"</w:t>
      </w:r>
      <w:r>
        <w:rPr>
          <w:sz w:val="24"/>
        </w:rPr>
        <w:t xml:space="preserve"> shall mean the point of interconnection between the Gas inlet facilities at the Facility and the Gas delivery facilities of the Transportation Provider.</w:t>
      </w:r>
    </w:p>
    <w:p>
      <w:pPr>
        <w:pStyle w:val="Justified"/>
        <w:spacing w:before="120" w:after="0"/>
        <w:ind w:firstLine="720" w:end="0"/>
        <w:jc w:val="both"/>
        <w:rPr/>
      </w:pPr>
      <w:r>
        <w:rPr>
          <w:b/>
          <w:i/>
          <w:sz w:val="24"/>
        </w:rPr>
        <w:t>"Interest Rate"</w:t>
      </w:r>
      <w:r>
        <w:rPr>
          <w:sz w:val="24"/>
        </w:rPr>
        <w:t xml:space="preserve"> shall mean, for any date, two percent (2%) over the per annum rate of interest equal to the prime lending rate as may from time to time be published in the Wall Street Journal under "Money Rates"; </w:t>
      </w:r>
      <w:r>
        <w:rPr>
          <w:i/>
          <w:sz w:val="24"/>
        </w:rPr>
        <w:t>provided,</w:t>
      </w:r>
      <w:r>
        <w:rPr>
          <w:sz w:val="24"/>
        </w:rPr>
        <w:t xml:space="preserve"> the Interest Rate shall never exceed the maximum lawful rate permitted by applicable law.</w:t>
      </w:r>
    </w:p>
    <w:p>
      <w:pPr>
        <w:pStyle w:val="Justified"/>
        <w:spacing w:before="120" w:after="0"/>
        <w:ind w:firstLine="720" w:end="0"/>
        <w:jc w:val="both"/>
        <w:rPr/>
      </w:pPr>
      <w:r>
        <w:rPr>
          <w:b/>
          <w:i/>
          <w:sz w:val="24"/>
        </w:rPr>
        <w:t>"Month"</w:t>
      </w:r>
      <w:r>
        <w:rPr>
          <w:sz w:val="24"/>
        </w:rPr>
        <w:t xml:space="preserve"> shall mean a calendar Month.</w:t>
      </w:r>
    </w:p>
    <w:p>
      <w:pPr>
        <w:pStyle w:val="Justified"/>
        <w:spacing w:before="120" w:after="0"/>
        <w:ind w:firstLine="720" w:end="0"/>
        <w:jc w:val="both"/>
        <w:rPr/>
      </w:pPr>
      <w:r>
        <w:rPr>
          <w:b/>
          <w:i/>
          <w:sz w:val="24"/>
        </w:rPr>
        <w:t>"MW"</w:t>
      </w:r>
      <w:r>
        <w:rPr>
          <w:sz w:val="24"/>
        </w:rPr>
        <w:t xml:space="preserve"> shall mean one megawatt, or one million watts of electric power.</w:t>
      </w:r>
    </w:p>
    <w:p>
      <w:pPr>
        <w:pStyle w:val="Justified"/>
        <w:spacing w:before="120" w:after="0"/>
        <w:ind w:firstLine="720" w:end="0"/>
        <w:jc w:val="both"/>
        <w:rPr/>
      </w:pPr>
      <w:r>
        <w:rPr>
          <w:b/>
          <w:i/>
          <w:sz w:val="24"/>
        </w:rPr>
        <w:t>"MWh"</w:t>
      </w:r>
      <w:r>
        <w:rPr>
          <w:sz w:val="24"/>
        </w:rPr>
        <w:t xml:space="preserve"> shall mean one megawatt-hour, or one million watts of electric power per hour.</w:t>
      </w:r>
    </w:p>
    <w:p>
      <w:pPr>
        <w:pStyle w:val="Justified"/>
        <w:spacing w:before="120" w:after="0"/>
        <w:ind w:firstLine="720" w:end="0"/>
        <w:jc w:val="both"/>
        <w:rPr/>
      </w:pPr>
      <w:r>
        <w:rPr>
          <w:b/>
          <w:i/>
          <w:sz w:val="24"/>
        </w:rPr>
        <w:t>"Schedule"</w:t>
      </w:r>
      <w:r>
        <w:rPr>
          <w:sz w:val="24"/>
        </w:rPr>
        <w:t xml:space="preserve"> or </w:t>
      </w:r>
      <w:r>
        <w:rPr>
          <w:b/>
          <w:i/>
          <w:sz w:val="24"/>
        </w:rPr>
        <w:t>"Scheduling"</w:t>
      </w:r>
      <w:r>
        <w:rPr>
          <w:sz w:val="24"/>
        </w:rPr>
        <w:t xml:space="preserve"> shall mean the acts of BROWNSVILLE, EPMI and/or their designated representatives, including each Party’s Transmission Provider and Transportation Provider, if applicable, of notifying, requesting and confirming to each other the quantity of Energy or Gas to be delivered hourly on any given day or days during the Tolling Transaction Term at the Energy Delivery Point or Gas Delivery Point, as the case may be.</w:t>
      </w:r>
    </w:p>
    <w:p>
      <w:pPr>
        <w:pStyle w:val="Justified"/>
        <w:spacing w:before="120" w:after="0"/>
        <w:ind w:firstLine="720" w:end="0"/>
        <w:jc w:val="both"/>
        <w:rPr>
          <w:b/>
          <w:i/>
          <w:i/>
          <w:sz w:val="24"/>
        </w:rPr>
      </w:pPr>
      <w:r>
        <w:rPr>
          <w:b/>
          <w:i/>
          <w:sz w:val="24"/>
        </w:rPr>
        <w:t>"Start Charge"</w:t>
      </w:r>
      <w:r>
        <w:rPr>
          <w:sz w:val="24"/>
        </w:rPr>
        <w:t xml:space="preserve"> shall have the meaning set forth in Section 4.1(c).</w:t>
      </w:r>
    </w:p>
    <w:p>
      <w:pPr>
        <w:pStyle w:val="Heading2"/>
        <w:spacing w:before="120" w:after="0"/>
        <w:jc w:val="both"/>
        <w:rPr>
          <w:b/>
          <w:i/>
          <w:i/>
          <w:sz w:val="24"/>
        </w:rPr>
      </w:pPr>
      <w:r>
        <w:rPr>
          <w:b/>
          <w:i/>
          <w:sz w:val="24"/>
        </w:rPr>
        <w:t>"Start -Up"</w:t>
      </w:r>
      <w:r>
        <w:rPr>
          <w:sz w:val="24"/>
        </w:rPr>
        <w:t xml:space="preserve"> shall mean the act of bringing a Unit or the Facility, as the context requires, from shutdown to synchronization at its minimum load, and the release of the Unit or Facility for ramping to the capacity level requested in the Dispatch Schedule.</w:t>
      </w:r>
    </w:p>
    <w:p>
      <w:pPr>
        <w:pStyle w:val="Justified"/>
        <w:spacing w:before="120" w:after="0"/>
        <w:ind w:firstLine="720" w:end="0"/>
        <w:jc w:val="both"/>
        <w:rPr/>
      </w:pPr>
      <w:r>
        <w:rPr>
          <w:b/>
          <w:i/>
          <w:sz w:val="24"/>
        </w:rPr>
        <w:t>"Term"</w:t>
      </w:r>
      <w:r>
        <w:rPr>
          <w:sz w:val="24"/>
        </w:rPr>
        <w:t xml:space="preserve"> shall have the meaning set forth in Article 2.</w:t>
      </w:r>
    </w:p>
    <w:p>
      <w:pPr>
        <w:pStyle w:val="Justified"/>
        <w:spacing w:before="120" w:after="0"/>
        <w:ind w:firstLine="720" w:end="0"/>
        <w:jc w:val="both"/>
        <w:rPr/>
      </w:pPr>
      <w:r>
        <w:rPr>
          <w:b/>
          <w:i/>
          <w:sz w:val="24"/>
        </w:rPr>
        <w:t>"Termination Payment"</w:t>
      </w:r>
      <w:r>
        <w:rPr>
          <w:sz w:val="24"/>
        </w:rPr>
        <w:t xml:space="preserve"> shall have the meaning set forth in Section 5.2.</w:t>
      </w:r>
    </w:p>
    <w:p>
      <w:pPr>
        <w:pStyle w:val="Heading2"/>
        <w:spacing w:before="120" w:after="0"/>
        <w:jc w:val="both"/>
        <w:rPr/>
      </w:pPr>
      <w:r>
        <w:rPr>
          <w:b/>
          <w:i/>
          <w:sz w:val="24"/>
        </w:rPr>
        <w:t>"Tolling Charges"</w:t>
      </w:r>
      <w:r>
        <w:rPr>
          <w:sz w:val="24"/>
        </w:rPr>
        <w:t xml:space="preserve"> shall have the meaning set forth in Section. 4.1.</w:t>
      </w:r>
    </w:p>
    <w:p>
      <w:pPr>
        <w:pStyle w:val="Heading2"/>
        <w:spacing w:before="120" w:after="0"/>
        <w:jc w:val="both"/>
        <w:rPr/>
      </w:pPr>
      <w:r>
        <w:rPr>
          <w:b/>
          <w:i/>
          <w:sz w:val="24"/>
        </w:rPr>
        <w:t>"Tolling Transaction"</w:t>
      </w:r>
      <w:r>
        <w:rPr>
          <w:sz w:val="24"/>
        </w:rPr>
        <w:t xml:space="preserve"> shall have the meaning set forth in Recital A.</w:t>
      </w:r>
    </w:p>
    <w:p>
      <w:pPr>
        <w:pStyle w:val="Justified"/>
        <w:spacing w:before="120" w:after="0"/>
        <w:ind w:firstLine="720" w:end="0"/>
        <w:jc w:val="both"/>
        <w:rPr/>
      </w:pPr>
      <w:r>
        <w:rPr>
          <w:b/>
          <w:i/>
          <w:sz w:val="24"/>
        </w:rPr>
        <w:t>"Transportation Provider"</w:t>
      </w:r>
      <w:r>
        <w:rPr>
          <w:sz w:val="24"/>
        </w:rPr>
        <w:t xml:space="preserve"> shall mean the entity or entities transmitting Gas on behalf of EPMI to the Gas Delivery Point.</w:t>
      </w:r>
    </w:p>
    <w:p>
      <w:pPr>
        <w:pStyle w:val="Justified"/>
        <w:spacing w:before="120" w:after="0"/>
        <w:ind w:firstLine="720" w:end="0"/>
        <w:jc w:val="both"/>
        <w:rPr/>
      </w:pPr>
      <w:r>
        <w:rPr>
          <w:b/>
          <w:i/>
          <w:sz w:val="24"/>
        </w:rPr>
        <w:t>"Transmission Provider"</w:t>
      </w:r>
      <w:r>
        <w:rPr>
          <w:sz w:val="24"/>
        </w:rPr>
        <w:t xml:space="preserve"> shall mean the entity or entities transmitting Energy on behalf of EPMI from the Energy Delivery Point.</w:t>
      </w:r>
    </w:p>
    <w:p>
      <w:pPr>
        <w:pStyle w:val="Heading2"/>
        <w:spacing w:before="120" w:after="0"/>
        <w:jc w:val="both"/>
        <w:rPr/>
      </w:pPr>
      <w:r>
        <w:rPr>
          <w:b/>
          <w:i/>
          <w:sz w:val="24"/>
        </w:rPr>
        <w:t>"Unit"</w:t>
      </w:r>
      <w:r>
        <w:rPr>
          <w:sz w:val="24"/>
        </w:rPr>
        <w:t xml:space="preserve"> shall mean an individual combustion turbine generator set comprising part of the Facility.</w:t>
      </w:r>
    </w:p>
    <w:p>
      <w:pPr>
        <w:pStyle w:val="Heading2"/>
        <w:spacing w:before="120" w:after="0"/>
        <w:jc w:val="both"/>
        <w:rPr/>
      </w:pPr>
      <w:r>
        <w:rPr>
          <w:b/>
          <w:i/>
          <w:sz w:val="24"/>
        </w:rPr>
        <w:t>"Unit Start"</w:t>
      </w:r>
      <w:r>
        <w:rPr>
          <w:sz w:val="24"/>
        </w:rPr>
        <w:t xml:space="preserve"> shall mean designation, in a Dispatch Schedule, of a Unit for Start-Up.</w:t>
      </w:r>
    </w:p>
    <w:p>
      <w:pPr>
        <w:pStyle w:val="Heading1"/>
        <w:spacing w:before="120" w:after="0"/>
        <w:ind w:hanging="0" w:start="0"/>
        <w:rPr/>
      </w:pPr>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3</w:t>
      </w:r>
      <w:r>
        <w:rPr>
          <w:sz w:val="24"/>
        </w:rPr>
        <w:fldChar w:fldCharType="end"/>
      </w:r>
      <w:r>
        <w:rPr>
          <w:sz w:val="24"/>
        </w:rPr>
        <w:br/>
        <w:t>TERM</w:t>
      </w:r>
    </w:p>
    <w:p>
      <w:pPr>
        <w:pStyle w:val="Justified"/>
        <w:spacing w:before="120" w:after="0"/>
        <w:ind w:firstLine="720" w:end="0"/>
        <w:jc w:val="both"/>
        <w:rPr>
          <w:sz w:val="24"/>
        </w:rPr>
      </w:pPr>
      <w:r>
        <w:rPr>
          <w:sz w:val="24"/>
        </w:rPr>
        <w:t>The Term of this Agreement shall begin on the Effective Date and shall continue until December 31, 1999; PROVIDED, that, notwithstanding any other provision of this Agreement, including Section 5.2, either Party may terminate this Agreement at any time before December 31, 1999, by providing at least five (5) days written notice to the other Party.</w:t>
      </w:r>
    </w:p>
    <w:p>
      <w:pPr>
        <w:pStyle w:val="Heading1"/>
        <w:spacing w:before="120" w:after="0"/>
        <w:ind w:hanging="0" w:start="0"/>
        <w:rPr/>
      </w:pPr>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4</w:t>
      </w:r>
      <w:r>
        <w:rPr>
          <w:sz w:val="24"/>
        </w:rPr>
        <w:fldChar w:fldCharType="end"/>
      </w:r>
      <w:r>
        <w:rPr>
          <w:sz w:val="24"/>
        </w:rPr>
        <w:br/>
        <w:t>TOLLING TRANSACTIONS</w:t>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5</w:t>
      </w:r>
      <w:r>
        <w:rPr>
          <w:sz w:val="24"/>
        </w:rPr>
        <w:fldChar w:fldCharType="end"/>
      </w:r>
      <w:r>
        <w:rPr>
          <w:sz w:val="24"/>
        </w:rPr>
        <w:tab/>
      </w:r>
      <w:r>
        <w:rPr>
          <w:b/>
          <w:sz w:val="24"/>
          <w:u w:val="single"/>
        </w:rPr>
        <w:t>Tolling Transactions</w:t>
      </w:r>
      <w:r>
        <w:rPr>
          <w:sz w:val="24"/>
        </w:rPr>
        <w:t>.  At any time during the Term, EPMI may Schedule a Tolling Transaction, under which EPMI or its designee would deliver Gas to BROWNSVILLE at the Gas Delivery Point, and BROWNSVILLE would toll, or convert, the Gas into Energy at the Facility and deliver such Energy to EPMI at the Energy Delivery Point.  Tolling Transactions may be initiated by EPMI in any number and at any time during the Tolling Transaction Term.  EPMI is under no obligation to Schedule any Tolling Transactions hereunder, but BROWNSVILLE is obligated to perform a Tolling Transaction as and when Scheduled by EPMI.  BROWNSVILLE agrees that it shall not resell to others the Gas delivered to BROWNSVILLE by EPMI, but shall instead use such Gas only for the Tolling Transaction.</w:t>
      </w:r>
    </w:p>
    <w:p>
      <w:pPr>
        <w:pStyle w:val="Heading2"/>
        <w:spacing w:before="120" w:after="0"/>
        <w:jc w:val="both"/>
        <w:rPr/>
      </w:pPr>
      <w:r>
        <w:rPr>
          <w:sz w:val="24"/>
        </w:rPr>
        <w:t>3.2.</w:t>
        <w:tab/>
      </w:r>
      <w:r>
        <w:rPr>
          <w:b/>
          <w:sz w:val="24"/>
          <w:u w:val="single"/>
        </w:rPr>
        <w:t>Exclusivity</w:t>
      </w:r>
      <w:r>
        <w:rPr>
          <w:sz w:val="24"/>
        </w:rPr>
        <w:t>.  Once a Unit or the Facility has become capable of Commercial Operations, BROWNSVILLE shall not operate the Facility for any purpose other than as provided hereunder, except with the prior written consent of EPMI.</w:t>
      </w:r>
    </w:p>
    <w:p>
      <w:pPr>
        <w:pStyle w:val="Heading2"/>
        <w:spacing w:before="120" w:after="0"/>
        <w:jc w:val="both"/>
        <w:rPr/>
      </w:pPr>
      <w:r>
        <w:rPr>
          <w:sz w:val="24"/>
        </w:rPr>
        <w:t>3.3</w:t>
        <w:tab/>
      </w:r>
      <w:r>
        <w:rPr>
          <w:b/>
          <w:sz w:val="24"/>
          <w:u w:val="single"/>
        </w:rPr>
        <w:t>Transmission and Transportation</w:t>
      </w:r>
      <w:r>
        <w:rPr>
          <w:sz w:val="24"/>
        </w:rPr>
        <w:t xml:space="preserve">.  EPMI shall arrange for and be responsible for transportation of Gas to the Gas Delivery Point and transmission of Energy from the Energy Delivery Point. </w:t>
      </w:r>
    </w:p>
    <w:p>
      <w:pPr>
        <w:pStyle w:val="Heading2"/>
        <w:spacing w:before="120" w:after="0"/>
        <w:jc w:val="both"/>
        <w:rPr/>
      </w:pPr>
      <w:r>
        <w:rPr>
          <w:sz w:val="24"/>
        </w:rPr>
        <w:t>3.4</w:t>
        <w:tab/>
      </w:r>
      <w:r>
        <w:rPr>
          <w:b/>
          <w:sz w:val="24"/>
          <w:u w:val="single"/>
        </w:rPr>
        <w:t>Scheduling</w:t>
      </w:r>
      <w:r>
        <w:rPr>
          <w:sz w:val="24"/>
        </w:rPr>
        <w:t xml:space="preserve">.  To Schedule a Tolling Transaction, EPMI shall provide notice to BROWNSVILLE, in the form and manner set forth on the form of Dispatch Schedule attached hereto as Exhibit B.  EPMI shall provide BROWNSVILLE with a minimum notice of thirty (30) minutes prior to initiating a Unit Start or Facility Start, as the case may be, utilizing the Dispatch Schedule attached hereto as Exhibit B. </w:t>
      </w:r>
    </w:p>
    <w:p>
      <w:pPr>
        <w:pStyle w:val="Heading2"/>
        <w:spacing w:before="120" w:after="0"/>
        <w:jc w:val="both"/>
        <w:rPr/>
      </w:pPr>
      <w:r>
        <w:rPr>
          <w:sz w:val="24"/>
        </w:rPr>
        <w:t>3.5</w:t>
        <w:tab/>
      </w:r>
      <w:r>
        <w:rPr>
          <w:b/>
          <w:sz w:val="24"/>
          <w:u w:val="single"/>
        </w:rPr>
        <w:t>Control; Freedom from Claims</w:t>
      </w:r>
      <w:r>
        <w:rPr>
          <w:sz w:val="24"/>
        </w:rPr>
        <w:t xml:space="preserve">.  As between the Parties, EPMI shall be deemed to be in exclusive control of the Gas up to the Gas Delivery Point and of the Energy after the Energy Delivery Point, and BROWNSVILLE shall be deemed to be in exclusive control of the Gas at and after the Gas Delivery Point, and of the Energy up to the Energy Delivery Point. </w:t>
      </w:r>
    </w:p>
    <w:p>
      <w:pPr>
        <w:pStyle w:val="Heading2"/>
        <w:spacing w:before="120" w:after="0"/>
        <w:jc w:val="both"/>
        <w:rPr/>
      </w:pPr>
      <w:r>
        <w:rPr>
          <w:sz w:val="24"/>
        </w:rPr>
        <w:t>3.6</w:t>
        <w:tab/>
      </w:r>
      <w:r>
        <w:rPr>
          <w:b/>
          <w:sz w:val="24"/>
          <w:u w:val="single"/>
        </w:rPr>
        <w:t>Metering</w:t>
      </w:r>
      <w:r>
        <w:rPr>
          <w:sz w:val="24"/>
        </w:rPr>
        <w:t>.  BROWNSVILLE shall own, operate and maintain metering equipment at the Facility, as necessary to accurately measure the Gas receipts and the Energy output of the Facility.  EPMI may request and observe tests of the accuracy of such metering equipment.</w:t>
      </w:r>
    </w:p>
    <w:p>
      <w:pPr>
        <w:pStyle w:val="Justified"/>
        <w:spacing w:before="120" w:after="0"/>
        <w:ind w:firstLine="720" w:end="0"/>
        <w:jc w:val="both"/>
        <w:rPr>
          <w:b/>
          <w:sz w:val="24"/>
          <w:u w:val="single"/>
        </w:rPr>
      </w:pPr>
      <w:r>
        <w:rPr>
          <w:sz w:val="24"/>
        </w:rPr>
        <w:t>3.7</w:t>
        <w:tab/>
      </w:r>
      <w:r>
        <w:rPr>
          <w:b/>
          <w:sz w:val="24"/>
          <w:u w:val="single"/>
        </w:rPr>
        <w:t>Gas Quality</w:t>
      </w:r>
      <w:r>
        <w:rPr>
          <w:sz w:val="24"/>
        </w:rPr>
        <w:t>.  The Parties shall agree upon the quality specifications for the Gas to be delivered hereunder, or, absent such agreement, the Gas shall be of pipeline quality.</w:t>
      </w:r>
    </w:p>
    <w:p>
      <w:pPr>
        <w:pStyle w:val="Heading1"/>
        <w:spacing w:before="120" w:after="0"/>
        <w:ind w:hanging="0" w:start="0"/>
        <w:rPr/>
      </w:pPr>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6</w:t>
      </w:r>
      <w:r>
        <w:rPr>
          <w:sz w:val="24"/>
        </w:rPr>
        <w:fldChar w:fldCharType="end"/>
      </w:r>
      <w:r>
        <w:rPr>
          <w:sz w:val="24"/>
        </w:rPr>
        <w:br/>
        <w:t>TOLLING CHARGES</w:t>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7</w:t>
      </w:r>
      <w:r>
        <w:rPr>
          <w:sz w:val="24"/>
        </w:rPr>
        <w:fldChar w:fldCharType="end"/>
      </w:r>
      <w:r>
        <w:rPr>
          <w:sz w:val="24"/>
        </w:rPr>
        <w:tab/>
      </w:r>
      <w:r>
        <w:rPr>
          <w:b/>
          <w:sz w:val="24"/>
          <w:u w:val="single"/>
        </w:rPr>
        <w:t>Tolling Charges</w:t>
      </w:r>
      <w:r>
        <w:rPr>
          <w:sz w:val="24"/>
        </w:rPr>
        <w:t xml:space="preserve">.  The Tolling Charges to be paid by EPMI to BROWNSVILLE for each Month during the Term shall consist of the Fixed Tolling Charge, Variable Tolling Charge, and the Start Charge, as set forth in this Section.  </w:t>
      </w:r>
    </w:p>
    <w:p>
      <w:pPr>
        <w:pStyle w:val="Heading2"/>
        <w:spacing w:before="120" w:after="0"/>
        <w:ind w:start="720" w:end="0"/>
        <w:jc w:val="both"/>
        <w:rPr>
          <w:sz w:val="24"/>
        </w:rPr>
      </w:pPr>
      <w:r>
        <w:rPr>
          <w:sz w:val="24"/>
        </w:rPr>
        <w:t>(a)</w:t>
        <w:tab/>
        <w:t xml:space="preserve">The Fixed Tolling Charge shall be One Million Four Hundred Ninety-Five Thousand Dollars ($1,495,000.00) per Month. </w:t>
      </w:r>
    </w:p>
    <w:p>
      <w:pPr>
        <w:pStyle w:val="Heading2"/>
        <w:spacing w:before="120" w:after="0"/>
        <w:ind w:start="720" w:end="0"/>
        <w:jc w:val="both"/>
        <w:rPr>
          <w:sz w:val="24"/>
        </w:rPr>
      </w:pPr>
      <w:r>
        <w:rPr>
          <w:sz w:val="24"/>
        </w:rPr>
        <w:t>(b)</w:t>
        <w:tab/>
        <w:t>The Variable Tolling Charge shall be equal to a unit price of One and 50/100 Dollars ($1.50) per MWh times the Energy Quantity (expressed in MWh) for all Energy delivered in Tolling Transactions in a Month.</w:t>
      </w:r>
    </w:p>
    <w:p>
      <w:pPr>
        <w:pStyle w:val="Heading2"/>
        <w:spacing w:before="120" w:after="0"/>
        <w:ind w:start="720" w:end="0"/>
        <w:jc w:val="both"/>
        <w:rPr>
          <w:sz w:val="24"/>
        </w:rPr>
      </w:pPr>
      <w:r>
        <w:rPr>
          <w:sz w:val="24"/>
        </w:rPr>
        <w:t>(c)</w:t>
        <w:tab/>
        <w:t>The Start Charge shall be One Thousand Seven Hundred Seventy-Five Dollars ($1,775.00) per Unit Start.</w:t>
      </w:r>
    </w:p>
    <w:p>
      <w:pPr>
        <w:pStyle w:val="Heading2"/>
        <w:spacing w:before="120" w:after="0"/>
        <w:ind w:hanging="0" w:end="0"/>
        <w:jc w:val="both"/>
        <w:rPr>
          <w:sz w:val="24"/>
        </w:rPr>
      </w:pPr>
      <w:r>
        <w:rPr>
          <w:sz w:val="24"/>
        </w:rPr>
        <w:t xml:space="preserve">PROVIDED, HOWEVER, that the Fixed Tolling Charge shall not begin until July 1999. </w:t>
      </w:r>
    </w:p>
    <w:p>
      <w:pPr>
        <w:pStyle w:val="Heading1"/>
        <w:spacing w:before="120" w:after="0"/>
        <w:ind w:hanging="0" w:start="0"/>
        <w:rPr/>
      </w:pPr>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8</w:t>
      </w:r>
      <w:r>
        <w:rPr>
          <w:sz w:val="24"/>
        </w:rPr>
        <w:fldChar w:fldCharType="end"/>
      </w:r>
      <w:r>
        <w:rPr>
          <w:sz w:val="24"/>
        </w:rPr>
        <w:br/>
        <w:t>EVENTS OF default and remedies</w:t>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9</w:t>
      </w:r>
      <w:r>
        <w:rPr>
          <w:sz w:val="24"/>
        </w:rPr>
        <w:fldChar w:fldCharType="end"/>
      </w:r>
      <w:r>
        <w:rPr>
          <w:sz w:val="24"/>
        </w:rPr>
        <w:tab/>
      </w:r>
      <w:r>
        <w:rPr>
          <w:b/>
          <w:sz w:val="24"/>
          <w:u w:val="single"/>
        </w:rPr>
        <w:t>Event of Default</w:t>
      </w:r>
      <w:r>
        <w:rPr>
          <w:b/>
          <w:sz w:val="24"/>
        </w:rPr>
        <w:t>.</w:t>
      </w:r>
      <w:r>
        <w:rPr>
          <w:sz w:val="24"/>
        </w:rPr>
        <w:t xml:space="preserve">  An "Event of Default" shall mean, with respect to a Party alleged to have taken or been affected by any of the actions set forth below in this Section 9.1 (the "Defaulting Party"):</w:t>
      </w:r>
    </w:p>
    <w:p>
      <w:pPr>
        <w:pStyle w:val="Heading6"/>
        <w:spacing w:before="120" w:after="0"/>
        <w:ind w:firstLine="720" w:start="720" w:end="0"/>
        <w:jc w:val="both"/>
        <w:rPr/>
      </w:pPr>
      <w:r>
        <w:rPr>
          <w:sz w:val="24"/>
        </w:rPr>
        <w:fldChar w:fldCharType="begin"/>
      </w:r>
      <w:r>
        <w:rPr>
          <w:sz w:val="24"/>
        </w:rPr>
        <w:instrText xml:space="preserve"> SEQ AutoNr \* ARABIC </w:instrText>
      </w:r>
      <w:r>
        <w:rPr>
          <w:sz w:val="24"/>
        </w:rPr>
        <w:fldChar w:fldCharType="separate"/>
      </w:r>
      <w:r>
        <w:rPr>
          <w:sz w:val="24"/>
        </w:rPr>
        <w:t>10</w:t>
      </w:r>
      <w:r>
        <w:rPr>
          <w:sz w:val="24"/>
        </w:rPr>
        <w:fldChar w:fldCharType="end"/>
      </w:r>
      <w:r>
        <w:rPr>
          <w:sz w:val="24"/>
        </w:rPr>
        <w:tab/>
        <w:t xml:space="preserve">the failure by the Defaulting Party to make, when due, any payment required under this Agreement if such failure is not remedied within five (5) Business Days after written notice of such failure is given to the Defaulting Party by the other Party ("Non-Defaulting Party") and </w:t>
      </w:r>
      <w:r>
        <w:rPr>
          <w:i/>
          <w:sz w:val="24"/>
        </w:rPr>
        <w:t>provided</w:t>
      </w:r>
      <w:r>
        <w:rPr>
          <w:sz w:val="24"/>
        </w:rPr>
        <w:t xml:space="preserve"> the payment is not the subject of a good faith dispute as described in the billing and payment provisions under Article 6.1; or</w:t>
      </w:r>
    </w:p>
    <w:p>
      <w:pPr>
        <w:pStyle w:val="Heading6"/>
        <w:spacing w:before="120" w:after="0"/>
        <w:ind w:firstLine="720" w:start="720" w:end="0"/>
        <w:jc w:val="both"/>
        <w:rPr/>
      </w:pPr>
      <w:r>
        <w:rPr>
          <w:sz w:val="24"/>
        </w:rPr>
        <w:fldChar w:fldCharType="begin"/>
      </w:r>
      <w:r>
        <w:rPr>
          <w:sz w:val="24"/>
        </w:rPr>
        <w:instrText xml:space="preserve"> SEQ AutoNr \* ARABIC </w:instrText>
      </w:r>
      <w:r>
        <w:rPr>
          <w:sz w:val="24"/>
        </w:rPr>
        <w:fldChar w:fldCharType="separate"/>
      </w:r>
      <w:r>
        <w:rPr>
          <w:sz w:val="24"/>
        </w:rPr>
        <w:t>11</w:t>
      </w:r>
      <w:r>
        <w:rPr>
          <w:sz w:val="24"/>
        </w:rPr>
        <w:fldChar w:fldCharType="end"/>
      </w:r>
      <w:r>
        <w:rPr>
          <w:sz w:val="24"/>
        </w:rPr>
        <w:tab/>
        <w:t>the failure by the Defaulting Party to perform any covenant set forth in this Agreement , and such failure is not excused by Force Majeure or otherwise cured within five (5) business days after written notice thereof to the Defaulting Party.</w:t>
      </w:r>
    </w:p>
    <w:p>
      <w:pPr>
        <w:pStyle w:val="Heading2"/>
        <w:keepNext w:val="true"/>
        <w:keepLines/>
        <w:spacing w:before="120" w:after="0"/>
        <w:jc w:val="both"/>
        <w:rPr>
          <w:sz w:val="24"/>
        </w:rPr>
      </w:pPr>
      <w:r>
        <w:rPr>
          <w:sz w:val="24"/>
        </w:rPr>
        <w:fldChar w:fldCharType="begin"/>
      </w:r>
      <w:r>
        <w:rPr>
          <w:sz w:val="24"/>
        </w:rPr>
        <w:instrText xml:space="preserve"> SEQ AutoNr \* ARABIC </w:instrText>
      </w:r>
      <w:r>
        <w:rPr>
          <w:sz w:val="24"/>
        </w:rPr>
        <w:fldChar w:fldCharType="separate"/>
      </w:r>
      <w:r>
        <w:rPr>
          <w:sz w:val="24"/>
        </w:rPr>
        <w:t>12</w:t>
      </w:r>
      <w:r>
        <w:rPr>
          <w:sz w:val="24"/>
        </w:rPr>
        <w:fldChar w:fldCharType="end"/>
      </w:r>
      <w:r>
        <w:rPr>
          <w:sz w:val="24"/>
        </w:rPr>
        <w:tab/>
      </w:r>
      <w:r>
        <w:rPr>
          <w:b/>
          <w:sz w:val="24"/>
          <w:u w:val="single"/>
        </w:rPr>
        <w:t>Remedies Upon an Event of Default</w:t>
      </w:r>
      <w:r>
        <w:rPr>
          <w:b/>
          <w:sz w:val="24"/>
        </w:rPr>
        <w:t>.</w:t>
      </w:r>
    </w:p>
    <w:p>
      <w:pPr>
        <w:pStyle w:val="Heading6"/>
        <w:spacing w:before="120" w:after="0"/>
        <w:ind w:firstLine="720" w:start="720" w:end="0"/>
        <w:jc w:val="both"/>
        <w:rPr/>
      </w:pPr>
      <w:r>
        <w:rPr>
          <w:sz w:val="24"/>
        </w:rPr>
        <w:fldChar w:fldCharType="begin"/>
      </w:r>
      <w:r>
        <w:rPr>
          <w:sz w:val="24"/>
        </w:rPr>
        <w:instrText xml:space="preserve"> SEQ AutoNr \* ARABIC </w:instrText>
      </w:r>
      <w:r>
        <w:rPr>
          <w:sz w:val="24"/>
        </w:rPr>
        <w:fldChar w:fldCharType="separate"/>
      </w:r>
      <w:r>
        <w:rPr>
          <w:sz w:val="24"/>
        </w:rPr>
        <w:t>13</w:t>
      </w:r>
      <w:r>
        <w:rPr>
          <w:sz w:val="24"/>
        </w:rPr>
        <w:fldChar w:fldCharType="end"/>
      </w:r>
      <w:r>
        <w:rPr>
          <w:sz w:val="24"/>
        </w:rPr>
        <w:tab/>
        <w:t>If an Event of Default occurs with respect to a Defaulting Party at any time during the Term, the Non-Defaulting Party may, for so long as the Event of Default is continuing, (i) establish a date (which date shall be between one (1) and ten (10) business days after the Non</w:t>
        <w:noBreakHyphen/>
        <w:t>Defaulting Party delivers notice) ("Early Termination Date") on which this Agreement shall terminate and (ii) withhold any payments due in respect of this Agreement.  If an Early Termination Date has been designated, the Non-Defaulting Party shall calculate its Gains or Losses and Costs (as hereafter defined) resulting from the termination of this Agreement.  The Gains, Losses and Costs shall be determined by comparing the value of the remaining Term and Tolling Charges under this Agreement had it not been terminated, to the equivalent quantities and relevant market prices for the remaining Term, either quoted by a bona fide third-party offer or which are reasonably expected to be available in the market under a replacement contract for this Agreement.  To ascertain the market prices of a replacement contract, the Non-Defaulting Party may consider, among other valuations, any or all of the settlement prices of NYMEX electricity futures contracts, quotations from leading dealers in energy swap contracts and other bona fide third party offers, all adjusted for the length of the remaining term and differences in transmission.  It is expressly agreed that a Party shall not be required to enter into a replacement transaction in order to determine the Termination Payment (as hereafter defined).  The Non</w:t>
        <w:noBreakHyphen/>
        <w:t>Defaulting Party shall aggregate such Gains, Losses and Costs with respect to this Agreement into a single net amount ("Termination Payment") and notify the Defaulting Party.  If the Non</w:t>
        <w:noBreakHyphen/>
        <w:t>Defaulting Party's aggregate Losses and Costs exceed its aggregate Gains, the Defaulting Party shall, within five (5) business days of receipt of such notice, pay the net amount to the Non</w:t>
        <w:noBreakHyphen/>
        <w:t>Defaulting Party, which amount shall bear interest at the Interest Rate from the Early Termination Date until paid.  If the Non-Defaulting Party's aggregate Gains exceed its aggregate Losses and Costs, if any, resulting from the termination of this Agreement, then the Non-Defaulting Party shall pay such excess to the Defaulting Party on or before the later of (i) ten (10) days after the end of the Month ending on or after the Early Termination Date and (ii) the date five (5) business days after receipt by the Defaulting Party of the Non-Defaulting Party's notice given above, which amount shall bear interest at the Interest Rate from the Early Termination Date until paid.  If the Defaulting Party disagrees with the calculation of the Termination Payment, the issue shall be submitted to arbitration in accordance with the arbitration procedures set forth in Section 12.9, and the resulting Termination Payment shall be due and payable within three (3) business days after the award.</w:t>
      </w:r>
    </w:p>
    <w:p>
      <w:pPr>
        <w:pStyle w:val="Heading6"/>
        <w:keepNext w:val="true"/>
        <w:keepLines/>
        <w:spacing w:before="120" w:after="0"/>
        <w:ind w:firstLine="720" w:start="720" w:end="0"/>
        <w:jc w:val="both"/>
        <w:rPr/>
      </w:pPr>
      <w:r>
        <w:rPr>
          <w:sz w:val="24"/>
        </w:rPr>
        <w:fldChar w:fldCharType="begin"/>
      </w:r>
      <w:r>
        <w:rPr>
          <w:sz w:val="24"/>
        </w:rPr>
        <w:instrText xml:space="preserve"> SEQ AutoNr \* ARABIC </w:instrText>
      </w:r>
      <w:r>
        <w:rPr>
          <w:sz w:val="24"/>
        </w:rPr>
        <w:fldChar w:fldCharType="separate"/>
      </w:r>
      <w:r>
        <w:rPr>
          <w:sz w:val="24"/>
        </w:rPr>
        <w:t>14</w:t>
      </w:r>
      <w:r>
        <w:rPr>
          <w:sz w:val="24"/>
        </w:rPr>
        <w:fldChar w:fldCharType="end"/>
      </w:r>
      <w:r>
        <w:rPr>
          <w:sz w:val="24"/>
        </w:rPr>
        <w:tab/>
        <w:t>For purposes of this Agreement:</w:t>
      </w:r>
    </w:p>
    <w:p>
      <w:pPr>
        <w:pStyle w:val="Heading7"/>
        <w:spacing w:before="120" w:after="0"/>
        <w:ind w:firstLine="720" w:start="1440" w:end="90"/>
        <w:jc w:val="both"/>
        <w:rPr/>
      </w:pPr>
      <w:r>
        <w:rPr>
          <w:sz w:val="24"/>
        </w:rPr>
        <w:fldChar w:fldCharType="begin"/>
      </w:r>
      <w:r>
        <w:rPr>
          <w:sz w:val="24"/>
        </w:rPr>
        <w:instrText xml:space="preserve"> SEQ AutoNr \* ARABIC </w:instrText>
      </w:r>
      <w:r>
        <w:rPr>
          <w:sz w:val="24"/>
        </w:rPr>
        <w:fldChar w:fldCharType="separate"/>
      </w:r>
      <w:r>
        <w:rPr>
          <w:sz w:val="24"/>
        </w:rPr>
        <w:t>15</w:t>
      </w:r>
      <w:r>
        <w:rPr>
          <w:sz w:val="24"/>
        </w:rPr>
        <w:fldChar w:fldCharType="end"/>
      </w:r>
      <w:r>
        <w:rPr>
          <w:sz w:val="24"/>
        </w:rPr>
        <w:tab/>
        <w:t>"Costs" shall mean, with respect to a Party, brokerage fees, commissions and other similar transaction costs and expenses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w:t>
      </w:r>
    </w:p>
    <w:p>
      <w:pPr>
        <w:pStyle w:val="Heading7"/>
        <w:spacing w:before="120" w:after="0"/>
        <w:ind w:firstLine="720" w:start="1440" w:end="90"/>
        <w:jc w:val="both"/>
        <w:rPr/>
      </w:pPr>
      <w:r>
        <w:rPr>
          <w:sz w:val="24"/>
        </w:rPr>
        <w:fldChar w:fldCharType="begin"/>
      </w:r>
      <w:r>
        <w:rPr>
          <w:sz w:val="24"/>
        </w:rPr>
        <w:instrText xml:space="preserve"> SEQ AutoNr \* ARABIC </w:instrText>
      </w:r>
      <w:r>
        <w:rPr>
          <w:sz w:val="24"/>
        </w:rPr>
        <w:fldChar w:fldCharType="separate"/>
      </w:r>
      <w:r>
        <w:rPr>
          <w:sz w:val="24"/>
        </w:rPr>
        <w:t>16</w:t>
      </w:r>
      <w:r>
        <w:rPr>
          <w:sz w:val="24"/>
        </w:rPr>
        <w:fldChar w:fldCharType="end"/>
      </w:r>
      <w:r>
        <w:rPr>
          <w:sz w:val="24"/>
        </w:rPr>
        <w:tab/>
        <w:t>"Gains" shall mean, with respect to a Party, an amount equal to the present value of the economic benefit (exclusive of Costs), if any, to such Party resulting from the termination of its obligations with respect to this Agreement determined in a commercially reasonable manner.</w:t>
      </w:r>
    </w:p>
    <w:p>
      <w:pPr>
        <w:pStyle w:val="Heading7"/>
        <w:spacing w:before="120" w:after="0"/>
        <w:ind w:firstLine="720" w:start="1440" w:end="90"/>
        <w:jc w:val="both"/>
        <w:rPr/>
      </w:pPr>
      <w:r>
        <w:rPr>
          <w:sz w:val="24"/>
        </w:rPr>
        <w:fldChar w:fldCharType="begin"/>
      </w:r>
      <w:r>
        <w:rPr>
          <w:sz w:val="24"/>
        </w:rPr>
        <w:instrText xml:space="preserve"> SEQ AutoNr \* ARABIC </w:instrText>
      </w:r>
      <w:r>
        <w:rPr>
          <w:sz w:val="24"/>
        </w:rPr>
        <w:fldChar w:fldCharType="separate"/>
      </w:r>
      <w:r>
        <w:rPr>
          <w:sz w:val="24"/>
        </w:rPr>
        <w:t>17</w:t>
      </w:r>
      <w:r>
        <w:rPr>
          <w:sz w:val="24"/>
        </w:rPr>
        <w:fldChar w:fldCharType="end"/>
      </w:r>
      <w:r>
        <w:rPr>
          <w:sz w:val="24"/>
        </w:rPr>
        <w:tab/>
        <w:t>"Losses" shall mean, with respect to a Party, an amount equal to the present value of the economic loss (exclusive of Costs), if any, to such Party resulting from the termination of its obligations with respect to this Agreement determined in a commercially reasonable manner.</w:t>
      </w:r>
    </w:p>
    <w:p>
      <w:pPr>
        <w:pStyle w:val="Heading6"/>
        <w:spacing w:before="120" w:after="0"/>
        <w:ind w:firstLine="720" w:start="720" w:end="0"/>
        <w:jc w:val="both"/>
        <w:rPr/>
      </w:pPr>
      <w:r>
        <w:rPr>
          <w:sz w:val="24"/>
        </w:rPr>
        <w:fldChar w:fldCharType="begin"/>
      </w:r>
      <w:r>
        <w:rPr>
          <w:sz w:val="24"/>
        </w:rPr>
        <w:instrText xml:space="preserve"> SEQ AutoNr \* ARABIC </w:instrText>
      </w:r>
      <w:r>
        <w:rPr>
          <w:sz w:val="24"/>
        </w:rPr>
        <w:fldChar w:fldCharType="separate"/>
      </w:r>
      <w:r>
        <w:rPr>
          <w:sz w:val="24"/>
        </w:rPr>
        <w:t>18</w:t>
      </w:r>
      <w:r>
        <w:rPr>
          <w:sz w:val="24"/>
        </w:rPr>
        <w:fldChar w:fldCharType="end"/>
      </w:r>
      <w:r>
        <w:rPr>
          <w:sz w:val="24"/>
        </w:rPr>
        <w:tab/>
        <w:t>In no event, however, shall a Party's Gains, Losses or Costs include any penalties, ratcheted demand or similar charges.  At the time for payment of any amount due under this Section 5.2, each Party shall pay to the other Party all additional amounts payable by it pursuant to this Agreement, but all such amounts shall be netted and aggregated with any Termination Payment payable hereunder.</w:t>
      </w:r>
    </w:p>
    <w:p>
      <w:pPr>
        <w:pStyle w:val="Heading1"/>
        <w:spacing w:before="120" w:after="0"/>
        <w:ind w:hanging="0" w:start="0"/>
        <w:rPr/>
      </w:pPr>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19</w:t>
      </w:r>
      <w:r>
        <w:rPr>
          <w:sz w:val="24"/>
        </w:rPr>
        <w:fldChar w:fldCharType="end"/>
      </w:r>
      <w:r>
        <w:rPr>
          <w:sz w:val="24"/>
        </w:rPr>
        <w:br/>
        <w:t>billing AND payment</w:t>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20</w:t>
      </w:r>
      <w:r>
        <w:rPr>
          <w:sz w:val="24"/>
        </w:rPr>
        <w:fldChar w:fldCharType="end"/>
      </w:r>
      <w:r>
        <w:rPr>
          <w:sz w:val="24"/>
        </w:rPr>
        <w:tab/>
      </w:r>
      <w:r>
        <w:rPr>
          <w:b/>
          <w:sz w:val="24"/>
          <w:u w:val="single"/>
        </w:rPr>
        <w:t>Billing and Payment</w:t>
      </w:r>
      <w:r>
        <w:rPr>
          <w:b/>
          <w:sz w:val="24"/>
        </w:rPr>
        <w:t>.</w:t>
      </w:r>
      <w:r>
        <w:rPr>
          <w:sz w:val="24"/>
        </w:rPr>
        <w:t xml:space="preserve">  BROWNSVILLE shall render to EPMI (by regular mail, facsimile or other acceptable means pursuant to Article 11) for each calendar Month during the Term a statement setting forth, as of the end of any Month, all of the Tolling Charges, if any, set out in Article 4 for that Month, and the quantity of Energy and Gas which were received and delivered by BROWNSVILLE, and any other charges due BROWNSVILLE.  Billing and payment will be based on the Tolling Charges and on delivered hourly quantities.  On or before ten (10) business days after receipt of BROWNSVILLE’s statement, EPMI shall render, by wire transfer, the amount set forth on such statement to the payment address provided in Exhibit A hereto.  Overdue payments shall accrue interest from, and including, the due date to, but excluding, the date of payment at the Interest Rate.  If EPMI, in good faith, disputes a statement, EPMI shall provide a written explanation specifying in detail the basis for the dispute and pay the portion of such statement conceded to be correct no later than the due date.  If any amount disputed by EPMI is determined to be due to BROWNSVILLE, it shall be paid within ten (10) days of such determination, along with interest accrued at the Interest Rate until the date paid.</w:t>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21</w:t>
      </w:r>
      <w:r>
        <w:rPr>
          <w:sz w:val="24"/>
        </w:rPr>
        <w:fldChar w:fldCharType="end"/>
      </w:r>
      <w:r>
        <w:rPr>
          <w:sz w:val="24"/>
        </w:rPr>
        <w:tab/>
      </w:r>
      <w:r>
        <w:rPr>
          <w:b/>
          <w:sz w:val="24"/>
          <w:u w:val="single"/>
        </w:rPr>
        <w:t>Setoff</w:t>
      </w:r>
      <w:r>
        <w:rPr>
          <w:sz w:val="24"/>
        </w:rPr>
        <w:t>.  If the Parties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22</w:t>
      </w:r>
      <w:r>
        <w:rPr>
          <w:sz w:val="24"/>
        </w:rPr>
        <w:fldChar w:fldCharType="end"/>
      </w:r>
      <w:r>
        <w:rPr>
          <w:sz w:val="24"/>
        </w:rPr>
        <w:tab/>
      </w:r>
      <w:r>
        <w:rPr>
          <w:b/>
          <w:sz w:val="24"/>
          <w:u w:val="single"/>
        </w:rPr>
        <w:t>Audit</w:t>
      </w:r>
      <w:r>
        <w:rPr>
          <w:sz w:val="24"/>
        </w:rPr>
        <w:t xml:space="preserve">.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If any such examination reveals any inaccuracy in any statement, the necessary adjustments in such statement and the payments thereof will be promptly made and shall bear interest calculated at the Interest Rate from the date the overpayment or underpayment was made until paid; </w:t>
      </w:r>
      <w:r>
        <w:rPr>
          <w:i/>
          <w:sz w:val="24"/>
        </w:rPr>
        <w:t>provided, however,</w:t>
      </w:r>
      <w:r>
        <w:rPr>
          <w:sz w:val="24"/>
        </w:rPr>
        <w:t xml:space="preserve"> that no adjustment for any statement or payment will be made unless objection to the accuracy thereof was made prior to the lapse of one year from the rendition thereof; and </w:t>
      </w:r>
      <w:r>
        <w:rPr>
          <w:i/>
          <w:sz w:val="24"/>
        </w:rPr>
        <w:t>provided further</w:t>
      </w:r>
      <w:r>
        <w:rPr>
          <w:sz w:val="24"/>
        </w:rPr>
        <w:t xml:space="preserve"> that this Section will survive any termination of this Agreement for a period of one (1) year from the date of such termination for the purpose of such statement and payment objections.</w:t>
      </w:r>
    </w:p>
    <w:p>
      <w:pPr>
        <w:pStyle w:val="Heading1"/>
        <w:spacing w:before="120" w:after="0"/>
        <w:ind w:hanging="0" w:start="0"/>
        <w:rPr/>
      </w:pPr>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23</w:t>
      </w:r>
      <w:r>
        <w:rPr>
          <w:sz w:val="24"/>
        </w:rPr>
        <w:fldChar w:fldCharType="end"/>
      </w:r>
      <w:r>
        <w:rPr>
          <w:sz w:val="24"/>
        </w:rPr>
        <w:br/>
        <w:t>assignment; BINDING EFFECT</w:t>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24</w:t>
      </w:r>
      <w:r>
        <w:rPr>
          <w:sz w:val="24"/>
        </w:rPr>
        <w:fldChar w:fldCharType="end"/>
      </w:r>
      <w:r>
        <w:rPr>
          <w:sz w:val="24"/>
        </w:rPr>
        <w:tab/>
      </w:r>
      <w:r>
        <w:rPr>
          <w:b/>
          <w:sz w:val="24"/>
          <w:u w:val="single"/>
        </w:rPr>
        <w:t>Assignment</w:t>
      </w:r>
      <w:r>
        <w:rPr>
          <w:sz w:val="24"/>
        </w:rPr>
        <w:t>.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(a) transfer, sell, pledge, encumber or assign this Agreement or the accounts, revenues or proceeds hereof in connection with any financing or other financial arrangements; (b) transfer or assign this Agreement to an affiliate of such Party; or (c) transfer or assign this Agreement to any person or entity succeeding to all or substantially all of the assets of such Party.</w:t>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25</w:t>
      </w:r>
      <w:r>
        <w:rPr>
          <w:sz w:val="24"/>
        </w:rPr>
        <w:fldChar w:fldCharType="end"/>
      </w:r>
      <w:r>
        <w:rPr>
          <w:sz w:val="24"/>
        </w:rPr>
        <w:tab/>
      </w:r>
      <w:r>
        <w:rPr>
          <w:b/>
          <w:sz w:val="24"/>
          <w:u w:val="single"/>
        </w:rPr>
        <w:t>Binding Effect</w:t>
      </w:r>
      <w:r>
        <w:rPr>
          <w:b/>
          <w:sz w:val="24"/>
        </w:rPr>
        <w:t>.</w:t>
      </w:r>
      <w:r>
        <w:rPr>
          <w:sz w:val="24"/>
        </w:rPr>
        <w:t xml:space="preserve">  This Agreement shall inure to the benefit of and be binding upon the Parties and their respective successors and permitted assigns.  No assignment or transfer permitted hereunder shall relieve either Party of any of their respective obligations under this Agreement.</w:t>
      </w:r>
    </w:p>
    <w:p>
      <w:pPr>
        <w:pStyle w:val="Heading1"/>
        <w:spacing w:before="120" w:after="0"/>
        <w:ind w:hanging="0" w:start="0"/>
        <w:rPr/>
      </w:pPr>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26</w:t>
      </w:r>
      <w:r>
        <w:rPr>
          <w:sz w:val="24"/>
        </w:rPr>
        <w:fldChar w:fldCharType="end"/>
      </w:r>
      <w:r>
        <w:rPr>
          <w:sz w:val="24"/>
        </w:rPr>
        <w:br/>
        <w:t>force majeure and limitation of liability</w:t>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27</w:t>
      </w:r>
      <w:r>
        <w:rPr>
          <w:sz w:val="24"/>
        </w:rPr>
        <w:fldChar w:fldCharType="end"/>
      </w:r>
      <w:r>
        <w:rPr>
          <w:sz w:val="24"/>
        </w:rPr>
        <w:tab/>
      </w:r>
      <w:r>
        <w:rPr>
          <w:b/>
          <w:sz w:val="24"/>
          <w:u w:val="single"/>
        </w:rPr>
        <w:t>Force Majeure</w:t>
      </w:r>
      <w:r>
        <w:rPr>
          <w:sz w:val="24"/>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The Party affected by the Force Majeure shall remedy the Force Majeure with all reasonable dispatch.</w:t>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28</w:t>
      </w:r>
      <w:r>
        <w:rPr>
          <w:sz w:val="24"/>
        </w:rPr>
        <w:fldChar w:fldCharType="end"/>
      </w:r>
      <w:r>
        <w:rPr>
          <w:sz w:val="24"/>
        </w:rPr>
        <w:tab/>
      </w:r>
      <w:r>
        <w:rPr>
          <w:b/>
          <w:sz w:val="24"/>
          <w:u w:val="single"/>
        </w:rPr>
        <w:t>Limitation of Remedies, Liability and Damages</w:t>
      </w:r>
      <w:r>
        <w:rPr>
          <w:sz w:val="24"/>
        </w:rPr>
        <w:t>.  EXCEPT AS OTHERWISE PROVIDED BY SECTION 5.2,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PROVIDED IN THIS AGREEMENT,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Heading2"/>
        <w:spacing w:before="120" w:after="0"/>
        <w:jc w:val="both"/>
        <w:rPr>
          <w:b/>
          <w:sz w:val="24"/>
        </w:rPr>
      </w:pPr>
      <w:r>
        <w:rPr>
          <w:sz w:val="24"/>
        </w:rPr>
        <w:fldChar w:fldCharType="begin"/>
      </w:r>
      <w:r>
        <w:rPr>
          <w:sz w:val="24"/>
        </w:rPr>
        <w:instrText xml:space="preserve"> SEQ AutoNr \* ARABIC </w:instrText>
      </w:r>
      <w:r>
        <w:rPr>
          <w:sz w:val="24"/>
        </w:rPr>
        <w:fldChar w:fldCharType="separate"/>
      </w:r>
      <w:r>
        <w:rPr>
          <w:sz w:val="24"/>
        </w:rPr>
        <w:t>29</w:t>
      </w:r>
      <w:r>
        <w:rPr>
          <w:sz w:val="24"/>
        </w:rPr>
        <w:fldChar w:fldCharType="end"/>
      </w:r>
      <w:r>
        <w:rPr>
          <w:sz w:val="24"/>
        </w:rPr>
        <w:tab/>
      </w:r>
      <w:r>
        <w:rPr>
          <w:b/>
          <w:sz w:val="24"/>
          <w:u w:val="single"/>
        </w:rPr>
        <w:t>Duty to Mitigate</w:t>
      </w:r>
      <w:r>
        <w:rPr>
          <w:sz w:val="24"/>
        </w:rPr>
        <w:t>.  Except as otherwise provided by Section 5.2, each Party agrees that it has a duty to mitigate damages and covenants that it will use commercially reasonable efforts to minimize any damages it may incur as a result of the other Party’s performance or non-performance of this Agreement.</w:t>
      </w:r>
    </w:p>
    <w:p>
      <w:pPr>
        <w:pStyle w:val="Heading1"/>
        <w:spacing w:before="120" w:after="0"/>
        <w:ind w:hanging="0" w:start="0"/>
        <w:rPr/>
      </w:pPr>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30</w:t>
      </w:r>
      <w:r>
        <w:rPr>
          <w:sz w:val="24"/>
        </w:rPr>
        <w:fldChar w:fldCharType="end"/>
      </w:r>
      <w:r>
        <w:rPr>
          <w:sz w:val="24"/>
        </w:rPr>
        <w:br/>
        <w:t>TAXES</w:t>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31</w:t>
      </w:r>
      <w:r>
        <w:rPr>
          <w:sz w:val="24"/>
        </w:rPr>
        <w:fldChar w:fldCharType="end"/>
      </w:r>
      <w:r>
        <w:rPr>
          <w:sz w:val="24"/>
        </w:rPr>
        <w:tab/>
      </w:r>
      <w:r>
        <w:rPr>
          <w:b/>
          <w:sz w:val="24"/>
          <w:u w:val="single"/>
        </w:rPr>
        <w:t>General</w:t>
      </w:r>
      <w:r>
        <w:rPr>
          <w:sz w:val="24"/>
        </w:rPr>
        <w:t>.  The Parties shall each use reasonable efforts to implement the provisions of and to administer this Agreement in accordance with their intent to minimize taxes, so long as neither Party is materially adversely affected by such efforts.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tax.  Either Party with knowledge of a tax on the tolling, purchase or sale of energy, that may be applicable to the energy sold hereunder shall notify the other Party, in advance, of the applicability of such tax and shall also notify the other Party of any proposal to implement a new tax or apply an existing tax to the tolling, purchase, sale, delivery, or receipt of energy hereunder.</w:t>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32</w:t>
      </w:r>
      <w:r>
        <w:rPr>
          <w:sz w:val="24"/>
        </w:rPr>
        <w:fldChar w:fldCharType="end"/>
      </w:r>
      <w:r>
        <w:rPr>
          <w:sz w:val="24"/>
        </w:rPr>
        <w:tab/>
      </w:r>
      <w:r>
        <w:rPr>
          <w:b/>
          <w:sz w:val="24"/>
          <w:u w:val="single"/>
        </w:rPr>
        <w:t>Applicable Taxes</w:t>
      </w:r>
      <w:r>
        <w:rPr>
          <w:sz w:val="24"/>
        </w:rPr>
        <w:t>.  BROWNSVILLE shall be responsible for all existing and any new sale, use, excise, ad valorem, and any other similar taxes, imposed or levied by any federal, state or local governmental agency on the Energy delivered hereunder up to the delivery of such Energy at the Energy Delivery Point, and on the Gas delivered hereunder at and after the Gas Delivery Point.  EPMI shall be responsible for all existing and any new sale, use, excise, ad valorem, and any other similar taxes, imposed or levied by any federal, state or local governmental agency on the Energy delivered hereunder from and after the delivery of such Energy at the Energy Delivery Points, and on the Gas delivered hereunder up to the Gas Delivery Point.  Each Party shall indemnify, release, defend and hold harmless the other Party from and against any and all liability for taxes imposed or assessed by any taxing authority with respect to the energy sold, delivered and received hereunder that are the responsibility of such Party pursuant to this Section 9.2.</w:t>
      </w:r>
    </w:p>
    <w:p>
      <w:pPr>
        <w:pStyle w:val="Heading1"/>
        <w:spacing w:before="120" w:after="0"/>
        <w:ind w:hanging="0" w:start="0"/>
        <w:rPr/>
      </w:pPr>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33</w:t>
      </w:r>
      <w:r>
        <w:rPr>
          <w:sz w:val="24"/>
        </w:rPr>
        <w:fldChar w:fldCharType="end"/>
      </w:r>
      <w:r>
        <w:rPr>
          <w:sz w:val="24"/>
        </w:rPr>
        <w:br/>
        <w:t>CONFIDENTIALITY</w:t>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34</w:t>
      </w:r>
      <w:r>
        <w:rPr>
          <w:sz w:val="24"/>
        </w:rPr>
        <w:fldChar w:fldCharType="end"/>
      </w:r>
      <w:r>
        <w:rPr>
          <w:sz w:val="24"/>
        </w:rPr>
        <w:tab/>
      </w:r>
      <w:r>
        <w:rPr>
          <w:b/>
          <w:sz w:val="24"/>
          <w:u w:val="single"/>
        </w:rPr>
        <w:t>Confidentiality</w:t>
      </w:r>
      <w:r>
        <w:rPr>
          <w:sz w:val="24"/>
        </w:rPr>
        <w:t xml:space="preserve">.  Each Party shall not disclose the terms of this Agreement to a third party (other than the Party's and its Affiliates' employees, lenders, counsel or accountants who have agreed to keep such terms confidential) without the express written consent of the other Party, which consent shall not be unreasonably delayed or withheld, and EXCEPT in order to comply with any applicable law, order, regulation or exchange rule, including, but not limited to, any filing with the Federal Energy Regulatory Commission; </w:t>
      </w:r>
      <w:r>
        <w:rPr>
          <w:i/>
          <w:sz w:val="24"/>
        </w:rPr>
        <w:t xml:space="preserve">provided, </w:t>
      </w:r>
      <w:r>
        <w:rPr>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i/>
          <w:sz w:val="24"/>
        </w:rPr>
        <w:t>provided,</w:t>
      </w:r>
      <w:r>
        <w:rPr>
          <w:sz w:val="24"/>
        </w:rPr>
        <w:t xml:space="preserve"> that all monetary damages shall be limited to actual direct damages.</w:t>
      </w:r>
    </w:p>
    <w:p>
      <w:pPr>
        <w:pStyle w:val="Heading1"/>
        <w:spacing w:before="120" w:after="0"/>
        <w:ind w:hanging="0" w:start="0"/>
        <w:rPr/>
      </w:pPr>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35</w:t>
      </w:r>
      <w:r>
        <w:rPr>
          <w:sz w:val="24"/>
        </w:rPr>
        <w:fldChar w:fldCharType="end"/>
      </w:r>
      <w:r>
        <w:rPr>
          <w:sz w:val="24"/>
        </w:rPr>
        <w:br/>
        <w:t>notices</w:t>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36</w:t>
      </w:r>
      <w:r>
        <w:rPr>
          <w:sz w:val="24"/>
        </w:rPr>
        <w:fldChar w:fldCharType="end"/>
      </w:r>
      <w:r>
        <w:rPr>
          <w:sz w:val="24"/>
        </w:rPr>
        <w:tab/>
      </w:r>
      <w:r>
        <w:rPr>
          <w:b/>
          <w:sz w:val="24"/>
          <w:u w:val="single"/>
        </w:rPr>
        <w:t>Notices</w:t>
      </w:r>
      <w:r>
        <w:rPr>
          <w:sz w:val="24"/>
        </w:rPr>
        <w:t>.  All notices, requests, statements or payments shall be made as specified in Exhibit A hereto.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1"/>
        <w:spacing w:before="120" w:after="0"/>
        <w:ind w:hanging="0" w:start="0"/>
        <w:rPr/>
      </w:pPr>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37</w:t>
      </w:r>
      <w:r>
        <w:rPr>
          <w:sz w:val="24"/>
        </w:rPr>
        <w:fldChar w:fldCharType="end"/>
      </w:r>
      <w:r>
        <w:rPr>
          <w:sz w:val="24"/>
        </w:rPr>
        <w:br/>
        <w:t>miscellaneous</w:t>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38</w:t>
      </w:r>
      <w:r>
        <w:rPr>
          <w:sz w:val="24"/>
        </w:rPr>
        <w:fldChar w:fldCharType="end"/>
      </w:r>
      <w:r>
        <w:rPr>
          <w:sz w:val="24"/>
        </w:rPr>
        <w:tab/>
      </w:r>
      <w:r>
        <w:rPr>
          <w:b/>
          <w:sz w:val="24"/>
          <w:u w:val="single"/>
        </w:rPr>
        <w:t>Entirety</w:t>
      </w:r>
      <w:r>
        <w:rPr>
          <w:sz w:val="24"/>
        </w:rPr>
        <w:t>.  This Agreement and the Exhibits hereto constitute the entire agreement between the Parties.  There are no prior or contemporaneous agreements or representations affecting the same subject matter other than those herein expressed.  Except for any matters which, in accordance with the express provisions of this Agreement, may be resolved by verbal agreement between the Parties, no amendment, modification or change herein shall be enforceable unless reduced to writing and executed by both Parties.</w:t>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39</w:t>
      </w:r>
      <w:r>
        <w:rPr>
          <w:sz w:val="24"/>
        </w:rPr>
        <w:fldChar w:fldCharType="end"/>
      </w:r>
      <w:r>
        <w:rPr>
          <w:sz w:val="24"/>
        </w:rPr>
        <w:tab/>
      </w:r>
      <w:r>
        <w:rPr>
          <w:b/>
          <w:sz w:val="24"/>
          <w:u w:val="single"/>
        </w:rPr>
        <w:t>Governing Law</w:t>
      </w:r>
      <w:r>
        <w:rPr>
          <w:sz w:val="24"/>
        </w:rPr>
        <w:t>.  THIS AGREEMENT AND THE RIGHTS AND DUTIES OF THE PARTIES HEREUNDER SHALL BE GOVERNED BY AND CONSTRUED, ENFORCED AND PERFORMED IN ACCORDANCE WITH THE LAWS OF THE STATE OF TEXAS, WITHOUT GIVING EFFECT TO PRINCIPLES OF CONFLICTS OF LAWS.</w:t>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40</w:t>
      </w:r>
      <w:r>
        <w:rPr>
          <w:sz w:val="24"/>
        </w:rPr>
        <w:fldChar w:fldCharType="end"/>
      </w:r>
      <w:r>
        <w:rPr>
          <w:sz w:val="24"/>
        </w:rPr>
        <w:tab/>
      </w:r>
      <w:r>
        <w:rPr>
          <w:b/>
          <w:sz w:val="24"/>
          <w:u w:val="single"/>
        </w:rPr>
        <w:t>Non</w:t>
        <w:noBreakHyphen/>
        <w:t>Waiver</w:t>
      </w:r>
      <w:r>
        <w:rPr>
          <w:sz w:val="24"/>
        </w:rPr>
        <w:t>.  No waiver by any Party hereto of any one or more defaults by the other Party in the performance of any of the provisions of this Agreement shall be construed as a waiver of any other default or defaults whether of a like kind or different nature.</w:t>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41</w:t>
      </w:r>
      <w:r>
        <w:rPr>
          <w:sz w:val="24"/>
        </w:rPr>
        <w:fldChar w:fldCharType="end"/>
      </w:r>
      <w:r>
        <w:rPr>
          <w:sz w:val="24"/>
        </w:rPr>
        <w:tab/>
      </w:r>
      <w:r>
        <w:rPr>
          <w:b/>
          <w:sz w:val="24"/>
          <w:u w:val="single"/>
        </w:rPr>
        <w:t>Severability</w:t>
      </w:r>
      <w:r>
        <w:rPr>
          <w:sz w:val="24"/>
        </w:rPr>
        <w: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42</w:t>
      </w:r>
      <w:r>
        <w:rPr>
          <w:sz w:val="24"/>
        </w:rPr>
        <w:fldChar w:fldCharType="end"/>
      </w:r>
      <w:r>
        <w:rPr>
          <w:sz w:val="24"/>
        </w:rPr>
        <w:tab/>
      </w:r>
      <w:r>
        <w:rPr>
          <w:b/>
          <w:sz w:val="24"/>
          <w:u w:val="single"/>
        </w:rPr>
        <w:t>Headings; Exhibits</w:t>
      </w:r>
      <w:r>
        <w:rPr>
          <w:sz w:val="24"/>
        </w:rPr>
        <w: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43</w:t>
      </w:r>
      <w:r>
        <w:rPr>
          <w:sz w:val="24"/>
        </w:rPr>
        <w:fldChar w:fldCharType="end"/>
      </w:r>
      <w:r>
        <w:rPr>
          <w:sz w:val="24"/>
        </w:rPr>
        <w:tab/>
      </w:r>
      <w:r>
        <w:rPr>
          <w:b/>
          <w:sz w:val="24"/>
          <w:u w:val="single"/>
        </w:rPr>
        <w:t>Winding Up Arrangements</w:t>
      </w:r>
      <w:r>
        <w:rPr>
          <w:sz w:val="24"/>
        </w:rPr>
        <w:t>.  All indemnity and audit rights shall survive the termination of this Agreement.  All obligations provided in this Agreement shall remain in effect for the purpose of complying herewith.</w:t>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44</w:t>
      </w:r>
      <w:r>
        <w:rPr>
          <w:sz w:val="24"/>
        </w:rPr>
        <w:fldChar w:fldCharType="end"/>
      </w:r>
      <w:r>
        <w:rPr>
          <w:sz w:val="24"/>
        </w:rPr>
        <w:tab/>
      </w:r>
      <w:r>
        <w:rPr>
          <w:b/>
          <w:sz w:val="24"/>
          <w:u w:val="single"/>
        </w:rPr>
        <w:t>No Third Party Beneficiaries</w:t>
      </w:r>
      <w:r>
        <w:rPr>
          <w:sz w:val="24"/>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45</w:t>
      </w:r>
      <w:r>
        <w:rPr>
          <w:sz w:val="24"/>
        </w:rPr>
        <w:fldChar w:fldCharType="end"/>
      </w:r>
      <w:r>
        <w:rPr>
          <w:sz w:val="24"/>
        </w:rPr>
        <w:tab/>
      </w:r>
      <w:r>
        <w:rPr>
          <w:b/>
          <w:sz w:val="24"/>
          <w:u w:val="single"/>
        </w:rPr>
        <w:t>Counterparts</w:t>
      </w:r>
      <w:r>
        <w:rPr>
          <w:sz w:val="24"/>
        </w:rPr>
        <w:t>.  This Agreement may be executed in several counterparts, each of which is an original and all of which constitute one and the same instrument.</w:t>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46</w:t>
      </w:r>
      <w:r>
        <w:rPr>
          <w:sz w:val="24"/>
        </w:rPr>
        <w:fldChar w:fldCharType="end"/>
      </w:r>
      <w:r>
        <w:rPr>
          <w:sz w:val="24"/>
        </w:rPr>
        <w:tab/>
      </w:r>
      <w:r>
        <w:rPr>
          <w:b/>
          <w:sz w:val="24"/>
          <w:u w:val="single"/>
        </w:rPr>
        <w:t>Arbitration</w:t>
      </w:r>
      <w:r>
        <w:rPr>
          <w:sz w:val="24"/>
        </w:rPr>
        <w:t>.  ANY DISPUTE OR NEED OF INTERPRETATION ARISING OUT OF THIS AGREEMENT SHALL BE SUBMITTED TO BINDING ARBITRATION BY ONE ARBITRATOR WHO HAS NOT PREVIOUSLY BEEN EMPLOYED BY EITHER PARTY, AND DOES NOT HAVE A DIRECT OR INDIRECT INTEREST IN EITHER PARTY OR THE SUBJECT MATTER OF THE ARBITRATION.  SUCH ARBITRATOR SHALL EITHER BE AS MUTUALLY AGREED BY THE PARTIES WITHIN THIRTY (30) DAYS AFTER WRITTEN NOTICE FROM EITHER PARTY REQUESTING ARBITRATION, OR FAILING AGREEMENT, SHALL BE SELECTED UNDER THE EXPEDITED RULES OF THE AMERICAN ARBITRATION ASSOCIATION (THE "AAA").  SUCH ARBITRATION SHALL BE HELD IN ALTERNATING LOCATIONS OF THE HOME OFFICES OF THE PARTIES, COMMENCING WITH EPMI'S OFFICE.  THE RULES OF THE AAA SHALL APPLY TO THE EXTENT NOT INCONSISTENT WITH THE RULES HEREIN SPECIFIED.  EITHER PARTY MAY INITIATE ARBITRATION BY WRITTEN NOTICE TO THE OTHER PARTY AND THE ARBITRATION SHALL BE CONDUCTED ACCORDING TO THE FOLLOWING:  (a) NOT LATER THAN SEVEN (7) DAYS PRIOR TO THE HEARING DATE SET BY THE ARBITRATOR EACH PARTY SHALL SUBMIT A BRIEF WITH A SINGLE PROPOSAL FOR SETTLEMENT, (b) THE HEARING SHALL BE CONDUCTED ON A CONFIDENTIAL BASIS WITHOUT CONTINUANCE OR ADJOURNMENT, (c) THE ARBITRATOR SHALL BE LIMITED TO SELECTING ONLY ONE OF THE TWO PROPOSALS SUBMITTED BY THE PARTIES, (d) EACH PARTY SHALL DIVIDE EQUALLY THE COST OF THE ARBITRATOR AND THE HEARING AND EACH PARTY SHALL BE RESPONSIBLE FOR ITS OWN EXPENSES AND THOSE OF ITS COUNSEL AND REPRESENTATIVES AND (e) EVIDENCE CONCERNING THE FINANCIAL POSITION OR ORGANIZATIONAL MAKE</w:t>
        <w:noBreakHyphen/>
        <w:t>UP OF THE PARTIES, ANY OFFER MADE OR THE DETAILS OF ANY NEGOTIATION PRIOR TO ARBITRATION AND THE COST TO THE PARTIES OF THEIR REPRESENTATIVES AND COUNSEL SHALL NOT BE PERMISSIBLE.</w:t>
      </w:r>
      <w:r>
        <w:br w:type="page"/>
      </w:r>
    </w:p>
    <w:p>
      <w:pPr>
        <w:pStyle w:val="Heading2"/>
        <w:spacing w:before="120" w:after="0"/>
        <w:jc w:val="both"/>
        <w:rPr/>
      </w:pPr>
      <w:r>
        <w:rPr>
          <w:sz w:val="24"/>
        </w:rPr>
        <w:fldChar w:fldCharType="begin"/>
      </w:r>
      <w:r>
        <w:rPr>
          <w:sz w:val="24"/>
        </w:rPr>
        <w:instrText xml:space="preserve"> SEQ AutoNr \* ARABIC </w:instrText>
      </w:r>
      <w:r>
        <w:rPr>
          <w:sz w:val="24"/>
        </w:rPr>
        <w:fldChar w:fldCharType="separate"/>
      </w:r>
      <w:r>
        <w:rPr>
          <w:sz w:val="24"/>
        </w:rPr>
        <w:t>47</w:t>
      </w:r>
      <w:r>
        <w:rPr>
          <w:sz w:val="24"/>
        </w:rPr>
        <w:fldChar w:fldCharType="end"/>
      </w:r>
      <w:r>
        <w:rPr>
          <w:sz w:val="24"/>
        </w:rPr>
        <w:tab/>
      </w:r>
      <w:r>
        <w:rPr>
          <w:b/>
          <w:sz w:val="24"/>
          <w:u w:val="single"/>
        </w:rPr>
        <w:t>Acknowledgment of Arbitration</w:t>
      </w:r>
      <w:r>
        <w:rPr>
          <w:sz w:val="24"/>
        </w:rPr>
        <w:t>.  EACH PARTY UNDERSTANDS THAT THIS AGREEMENT CONTAINS AN AGREEMENT TO ARBITRATE WITH RESPECT TO ANY DISPUTE OR NEED OF INTERPRETATION OF THIS AGREEMENT.  AFTER SIGNING THIS AGREEMENT, EACH PARTY UNDERSTANDS THAT IT WILL NOT BE ABLE TO BRING A LAWSUIT CONCERNING ANY DISPUTE THAT MAY ARISE WHICH IS COVERED BY THE ARBITRATION PROVISION.  INSTEAD, EACH PARTY AGREES TO SUBMIT ANY SUCH DISPUTE TO AN IMPARTIAL ARBITRATOR.</w:t>
      </w:r>
    </w:p>
    <w:p>
      <w:pPr>
        <w:pStyle w:val="Justified"/>
        <w:spacing w:before="120" w:after="0"/>
        <w:ind w:firstLine="720" w:end="0"/>
        <w:jc w:val="both"/>
        <w:rPr>
          <w:sz w:val="24"/>
        </w:rPr>
      </w:pPr>
      <w:r>
        <w:rPr>
          <w:sz w:val="24"/>
        </w:rPr>
        <w:t>IN WITNESS WHEREOF, the Parties, by their respective duly authorized representatives, have executed this Agreement effective as of the Effective Date.  This Agreement shall not become effective as to either Party unless and until executed by both Parties.</w:t>
      </w:r>
    </w:p>
    <w:p>
      <w:pPr>
        <w:pStyle w:val="Normal"/>
        <w:tabs>
          <w:tab w:val="clear" w:pos="720"/>
          <w:tab w:val="left" w:pos="9180" w:leader="none"/>
        </w:tabs>
        <w:spacing w:before="240" w:after="0"/>
        <w:ind w:start="4320" w:end="0"/>
        <w:jc w:val="both"/>
        <w:rPr>
          <w:sz w:val="24"/>
        </w:rPr>
      </w:pPr>
      <w:r>
        <w:rPr>
          <w:b/>
          <w:sz w:val="24"/>
        </w:rPr>
        <w:t>ENRON POWER MARKETING, INC.</w:t>
      </w:r>
    </w:p>
    <w:p>
      <w:pPr>
        <w:pStyle w:val="Normal"/>
        <w:tabs>
          <w:tab w:val="clear" w:pos="720"/>
          <w:tab w:val="left" w:pos="9180" w:leader="none"/>
        </w:tabs>
        <w:spacing w:before="480" w:after="0"/>
        <w:ind w:start="4320" w:end="0"/>
        <w:jc w:val="both"/>
        <w:rPr>
          <w:sz w:val="24"/>
        </w:rPr>
      </w:pPr>
      <w:r>
        <w:rPr>
          <w:sz w:val="24"/>
        </w:rPr>
        <w:t>By:</w:t>
      </w:r>
      <w:r>
        <w:rPr>
          <w:sz w:val="24"/>
          <w:u w:val="single"/>
        </w:rPr>
        <w:tab/>
      </w:r>
    </w:p>
    <w:p>
      <w:pPr>
        <w:pStyle w:val="Normal"/>
        <w:tabs>
          <w:tab w:val="clear" w:pos="720"/>
          <w:tab w:val="left" w:pos="9180" w:leader="none"/>
        </w:tabs>
        <w:ind w:start="4320" w:end="0"/>
        <w:jc w:val="both"/>
        <w:rPr>
          <w:sz w:val="24"/>
        </w:rPr>
      </w:pPr>
      <w:r>
        <w:rPr>
          <w:sz w:val="24"/>
        </w:rPr>
        <w:t>Name:</w:t>
      </w:r>
      <w:r>
        <w:rPr>
          <w:sz w:val="24"/>
          <w:u w:val="single"/>
        </w:rPr>
        <w:tab/>
      </w:r>
    </w:p>
    <w:p>
      <w:pPr>
        <w:pStyle w:val="Normal"/>
        <w:tabs>
          <w:tab w:val="clear" w:pos="720"/>
          <w:tab w:val="left" w:pos="9180" w:leader="none"/>
        </w:tabs>
        <w:ind w:start="4320" w:end="0"/>
        <w:jc w:val="both"/>
        <w:rPr/>
      </w:pPr>
      <w:r>
        <w:rPr>
          <w:sz w:val="24"/>
        </w:rPr>
        <w:t>Title:</w:t>
      </w:r>
      <w:r>
        <w:rPr>
          <w:sz w:val="24"/>
          <w:u w:val="single"/>
        </w:rPr>
        <w:tab/>
      </w:r>
    </w:p>
    <w:p>
      <w:pPr>
        <w:pStyle w:val="Heading8"/>
        <w:spacing w:before="360" w:after="0"/>
        <w:rPr/>
      </w:pPr>
      <w:r>
        <w:rPr/>
        <w:t>SCC-L1, L.L.C.,</w:t>
      </w:r>
    </w:p>
    <w:p>
      <w:pPr>
        <w:pStyle w:val="Normal"/>
        <w:ind w:start="4320" w:end="0"/>
        <w:rPr>
          <w:b/>
          <w:sz w:val="24"/>
        </w:rPr>
      </w:pPr>
      <w:r>
        <w:rPr>
          <w:b/>
          <w:sz w:val="24"/>
        </w:rPr>
        <w:t>through its sole member</w:t>
      </w:r>
    </w:p>
    <w:p>
      <w:pPr>
        <w:pStyle w:val="Normal"/>
        <w:ind w:start="4320" w:end="0"/>
        <w:rPr>
          <w:b/>
          <w:sz w:val="24"/>
        </w:rPr>
      </w:pPr>
      <w:r>
        <w:rPr>
          <w:b/>
          <w:sz w:val="24"/>
        </w:rPr>
        <w:t>Enron Capital &amp; Trade Resources Corp.</w:t>
      </w:r>
    </w:p>
    <w:p>
      <w:pPr>
        <w:pStyle w:val="Normal"/>
        <w:tabs>
          <w:tab w:val="clear" w:pos="720"/>
          <w:tab w:val="left" w:pos="9180" w:leader="none"/>
        </w:tabs>
        <w:spacing w:before="480" w:after="0"/>
        <w:ind w:start="4320" w:end="0"/>
        <w:jc w:val="both"/>
        <w:rPr>
          <w:sz w:val="24"/>
        </w:rPr>
      </w:pPr>
      <w:r>
        <w:rPr>
          <w:sz w:val="24"/>
        </w:rPr>
        <w:t>By:</w:t>
      </w:r>
      <w:r>
        <w:rPr>
          <w:sz w:val="24"/>
          <w:u w:val="single"/>
        </w:rPr>
        <w:tab/>
      </w:r>
    </w:p>
    <w:p>
      <w:pPr>
        <w:pStyle w:val="Normal"/>
        <w:tabs>
          <w:tab w:val="clear" w:pos="720"/>
          <w:tab w:val="left" w:pos="9180" w:leader="none"/>
        </w:tabs>
        <w:ind w:start="4320" w:end="0"/>
        <w:jc w:val="both"/>
        <w:rPr>
          <w:sz w:val="24"/>
        </w:rPr>
      </w:pPr>
      <w:r>
        <w:rPr>
          <w:sz w:val="24"/>
        </w:rPr>
        <w:t>Name:</w:t>
      </w:r>
      <w:r>
        <w:rPr>
          <w:sz w:val="24"/>
          <w:u w:val="single"/>
        </w:rPr>
        <w:tab/>
      </w:r>
    </w:p>
    <w:p>
      <w:pPr>
        <w:pStyle w:val="Normal"/>
        <w:tabs>
          <w:tab w:val="clear" w:pos="720"/>
          <w:tab w:val="left" w:pos="9180" w:leader="none"/>
        </w:tabs>
        <w:ind w:start="4320" w:end="0"/>
        <w:jc w:val="both"/>
        <w:rPr/>
      </w:pPr>
      <w:r>
        <w:rPr>
          <w:sz w:val="24"/>
        </w:rPr>
        <w:t>Title:</w:t>
      </w:r>
      <w:r>
        <w:rPr>
          <w:sz w:val="24"/>
          <w:u w:val="single"/>
        </w:rPr>
        <w:tab/>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spacing w:before="120" w:after="0"/>
        <w:ind w:firstLine="720" w:end="0"/>
        <w:jc w:val="both"/>
        <w:rPr>
          <w:sz w:val="24"/>
          <w:u w:val="single"/>
        </w:rPr>
      </w:pPr>
      <w:r>
        <w:rPr>
          <w:sz w:val="24"/>
          <w:u w:val="single"/>
        </w:rPr>
      </w:r>
    </w:p>
    <w:p>
      <w:pPr>
        <w:pStyle w:val="Normal"/>
        <w:jc w:val="center"/>
        <w:rPr>
          <w:b/>
          <w:sz w:val="24"/>
        </w:rPr>
      </w:pPr>
      <w:r>
        <w:rPr>
          <w:b/>
          <w:sz w:val="24"/>
        </w:rPr>
        <w:t>EXHIBIT A</w:t>
      </w:r>
    </w:p>
    <w:p>
      <w:pPr>
        <w:pStyle w:val="Normal"/>
        <w:jc w:val="center"/>
        <w:rPr>
          <w:b/>
          <w:sz w:val="24"/>
        </w:rPr>
      </w:pPr>
      <w:r>
        <w:rPr>
          <w:b/>
          <w:sz w:val="24"/>
        </w:rPr>
        <w:t>to the</w:t>
      </w:r>
    </w:p>
    <w:p>
      <w:pPr>
        <w:pStyle w:val="Normal"/>
        <w:jc w:val="center"/>
        <w:rPr>
          <w:b/>
          <w:sz w:val="24"/>
        </w:rPr>
      </w:pPr>
      <w:r>
        <w:rPr>
          <w:b/>
          <w:sz w:val="24"/>
        </w:rPr>
        <w:t>Natural Gas Tolling Agreement</w:t>
      </w:r>
    </w:p>
    <w:p>
      <w:pPr>
        <w:pStyle w:val="Normal"/>
        <w:ind w:firstLine="720" w:end="0"/>
        <w:jc w:val="both"/>
        <w:rPr>
          <w:b/>
          <w:sz w:val="24"/>
        </w:rPr>
      </w:pPr>
      <w:r>
        <w:rPr>
          <w:b/>
          <w:sz w:val="24"/>
        </w:rPr>
      </w:r>
    </w:p>
    <w:p>
      <w:pPr>
        <w:pStyle w:val="Heading9"/>
        <w:ind w:hanging="0" w:start="0"/>
        <w:rPr/>
      </w:pPr>
      <w:r>
        <w:rPr/>
        <w:t>NOTICES</w:t>
      </w:r>
    </w:p>
    <w:p>
      <w:pPr>
        <w:pStyle w:val="Normal"/>
        <w:ind w:firstLine="720" w:end="0"/>
        <w:jc w:val="both"/>
        <w:rPr>
          <w:sz w:val="24"/>
        </w:rPr>
      </w:pPr>
      <w:r>
        <w:rPr>
          <w:sz w:val="24"/>
        </w:rPr>
      </w:r>
    </w:p>
    <w:p>
      <w:pPr>
        <w:pStyle w:val="Normal"/>
        <w:jc w:val="both"/>
        <w:rPr/>
      </w:pPr>
      <w:r>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snapToGrid w:val="false"/>
              <w:jc w:val="both"/>
              <w:rPr>
                <w:smallCaps/>
                <w:sz w:val="24"/>
              </w:rPr>
            </w:pPr>
            <w:r>
              <w:rPr>
                <w:smallCaps/>
                <w:sz w:val="24"/>
              </w:rPr>
            </w:r>
          </w:p>
          <w:p>
            <w:pPr>
              <w:pStyle w:val="Normal"/>
              <w:jc w:val="both"/>
              <w:rPr>
                <w:sz w:val="24"/>
              </w:rPr>
            </w:pPr>
            <w:r>
              <w:rPr>
                <w:b/>
                <w:smallCaps/>
                <w:sz w:val="24"/>
                <w:u w:val="single"/>
              </w:rPr>
              <w:t>EPMI</w:t>
            </w:r>
            <w:r>
              <w:rPr>
                <w:b/>
                <w:smallCaps/>
                <w:sz w:val="24"/>
              </w:rPr>
              <w:t>:</w:t>
            </w:r>
          </w:p>
        </w:tc>
        <w:tc>
          <w:tcPr>
            <w:tcW w:w="4320" w:type="dxa"/>
            <w:tcBorders/>
          </w:tcPr>
          <w:p>
            <w:pPr>
              <w:pStyle w:val="Normal"/>
              <w:snapToGrid w:val="false"/>
              <w:jc w:val="both"/>
              <w:rPr>
                <w:sz w:val="24"/>
              </w:rPr>
            </w:pPr>
            <w:r>
              <w:rPr>
                <w:sz w:val="24"/>
              </w:rPr>
            </w:r>
          </w:p>
        </w:tc>
      </w:tr>
      <w:tr>
        <w:trPr/>
        <w:tc>
          <w:tcPr>
            <w:tcW w:w="5148" w:type="dxa"/>
            <w:tcBorders/>
          </w:tcPr>
          <w:p>
            <w:pPr>
              <w:pStyle w:val="Normal"/>
              <w:snapToGrid w:val="false"/>
              <w:jc w:val="both"/>
              <w:rPr>
                <w:sz w:val="24"/>
              </w:rPr>
            </w:pPr>
            <w:r>
              <w:rPr>
                <w:sz w:val="24"/>
              </w:rPr>
            </w:r>
          </w:p>
        </w:tc>
        <w:tc>
          <w:tcPr>
            <w:tcW w:w="4320" w:type="dxa"/>
            <w:tcBorders/>
          </w:tcPr>
          <w:p>
            <w:pPr>
              <w:pStyle w:val="Normal"/>
              <w:snapToGrid w:val="false"/>
              <w:jc w:val="both"/>
              <w:rPr>
                <w:sz w:val="24"/>
              </w:rPr>
            </w:pPr>
            <w:r>
              <w:rPr>
                <w:sz w:val="24"/>
              </w:rPr>
            </w:r>
          </w:p>
        </w:tc>
      </w:tr>
      <w:tr>
        <w:trPr/>
        <w:tc>
          <w:tcPr>
            <w:tcW w:w="5148" w:type="dxa"/>
            <w:tcBorders/>
          </w:tcPr>
          <w:p>
            <w:pPr>
              <w:pStyle w:val="Normal"/>
              <w:jc w:val="both"/>
              <w:rPr>
                <w:sz w:val="24"/>
                <w:u w:val="single"/>
              </w:rPr>
            </w:pPr>
            <w:r>
              <w:rPr>
                <w:sz w:val="24"/>
                <w:u w:val="single"/>
              </w:rPr>
              <w:t>NOTICES &amp; CORRESPONDENCE:</w:t>
            </w:r>
          </w:p>
        </w:tc>
        <w:tc>
          <w:tcPr>
            <w:tcW w:w="4320" w:type="dxa"/>
            <w:tcBorders/>
          </w:tcPr>
          <w:p>
            <w:pPr>
              <w:pStyle w:val="Normal"/>
              <w:jc w:val="both"/>
              <w:rPr>
                <w:sz w:val="24"/>
                <w:u w:val="single"/>
              </w:rPr>
            </w:pPr>
            <w:r>
              <w:rPr>
                <w:sz w:val="24"/>
                <w:u w:val="single"/>
              </w:rPr>
              <w:t>PAYMENTS:</w:t>
            </w:r>
          </w:p>
        </w:tc>
      </w:tr>
      <w:tr>
        <w:trPr/>
        <w:tc>
          <w:tcPr>
            <w:tcW w:w="5148" w:type="dxa"/>
            <w:tcBorders/>
          </w:tcPr>
          <w:p>
            <w:pPr>
              <w:pStyle w:val="Normal"/>
              <w:jc w:val="both"/>
              <w:rPr>
                <w:sz w:val="24"/>
              </w:rPr>
            </w:pPr>
            <w:r>
              <w:rPr>
                <w:sz w:val="24"/>
              </w:rPr>
              <w:t>Enron Power Marketing, Inc.</w:t>
            </w:r>
          </w:p>
        </w:tc>
        <w:tc>
          <w:tcPr>
            <w:tcW w:w="4320" w:type="dxa"/>
            <w:tcBorders/>
          </w:tcPr>
          <w:p>
            <w:pPr>
              <w:pStyle w:val="Normal"/>
              <w:jc w:val="both"/>
              <w:rPr>
                <w:sz w:val="24"/>
              </w:rPr>
            </w:pPr>
            <w:r>
              <w:rPr>
                <w:sz w:val="24"/>
              </w:rPr>
              <w:t>NationsBank of Texas - Dallas</w:t>
            </w:r>
          </w:p>
        </w:tc>
      </w:tr>
      <w:tr>
        <w:trPr/>
        <w:tc>
          <w:tcPr>
            <w:tcW w:w="5148" w:type="dxa"/>
            <w:tcBorders/>
          </w:tcPr>
          <w:p>
            <w:pPr>
              <w:pStyle w:val="Normal"/>
              <w:jc w:val="both"/>
              <w:rPr>
                <w:sz w:val="24"/>
              </w:rPr>
            </w:pPr>
            <w:r>
              <w:rPr>
                <w:sz w:val="24"/>
              </w:rPr>
              <w:t>1400 Smith Street (77002)</w:t>
            </w:r>
          </w:p>
        </w:tc>
        <w:tc>
          <w:tcPr>
            <w:tcW w:w="4320" w:type="dxa"/>
            <w:tcBorders/>
          </w:tcPr>
          <w:p>
            <w:pPr>
              <w:pStyle w:val="Normal"/>
              <w:jc w:val="both"/>
              <w:rPr>
                <w:sz w:val="24"/>
              </w:rPr>
            </w:pPr>
            <w:r>
              <w:rPr>
                <w:sz w:val="24"/>
              </w:rPr>
              <w:t>for Enron Power Marketing, Inc.</w:t>
            </w:r>
          </w:p>
        </w:tc>
      </w:tr>
      <w:tr>
        <w:trPr/>
        <w:tc>
          <w:tcPr>
            <w:tcW w:w="5148" w:type="dxa"/>
            <w:tcBorders/>
          </w:tcPr>
          <w:p>
            <w:pPr>
              <w:pStyle w:val="Normal"/>
              <w:jc w:val="both"/>
              <w:rPr>
                <w:sz w:val="24"/>
              </w:rPr>
            </w:pPr>
            <w:r>
              <w:rPr>
                <w:sz w:val="24"/>
              </w:rPr>
              <w:t>P. O. Box 4428</w:t>
            </w:r>
          </w:p>
        </w:tc>
        <w:tc>
          <w:tcPr>
            <w:tcW w:w="4320" w:type="dxa"/>
            <w:tcBorders/>
          </w:tcPr>
          <w:p>
            <w:pPr>
              <w:pStyle w:val="Normal"/>
              <w:jc w:val="both"/>
              <w:rPr>
                <w:sz w:val="24"/>
              </w:rPr>
            </w:pPr>
            <w:r>
              <w:rPr>
                <w:sz w:val="24"/>
              </w:rPr>
              <w:t>ABA Routing # 111000012</w:t>
            </w:r>
          </w:p>
        </w:tc>
      </w:tr>
      <w:tr>
        <w:trPr/>
        <w:tc>
          <w:tcPr>
            <w:tcW w:w="5148" w:type="dxa"/>
            <w:tcBorders/>
          </w:tcPr>
          <w:p>
            <w:pPr>
              <w:pStyle w:val="Normal"/>
              <w:jc w:val="both"/>
              <w:rPr>
                <w:sz w:val="24"/>
              </w:rPr>
            </w:pPr>
            <w:r>
              <w:rPr>
                <w:sz w:val="24"/>
              </w:rPr>
              <w:t>Houston, Texas  77210-4428</w:t>
            </w:r>
          </w:p>
        </w:tc>
        <w:tc>
          <w:tcPr>
            <w:tcW w:w="4320" w:type="dxa"/>
            <w:tcBorders/>
          </w:tcPr>
          <w:p>
            <w:pPr>
              <w:pStyle w:val="Normal"/>
              <w:jc w:val="both"/>
              <w:rPr>
                <w:sz w:val="24"/>
              </w:rPr>
            </w:pPr>
            <w:r>
              <w:rPr>
                <w:sz w:val="24"/>
              </w:rPr>
              <w:t>Account # 375 046 9312</w:t>
            </w:r>
          </w:p>
        </w:tc>
      </w:tr>
      <w:tr>
        <w:trPr/>
        <w:tc>
          <w:tcPr>
            <w:tcW w:w="5148" w:type="dxa"/>
            <w:tcBorders/>
          </w:tcPr>
          <w:p>
            <w:pPr>
              <w:pStyle w:val="Normal"/>
              <w:jc w:val="both"/>
              <w:rPr>
                <w:sz w:val="24"/>
              </w:rPr>
            </w:pPr>
            <w:r>
              <w:rPr>
                <w:sz w:val="24"/>
              </w:rPr>
              <w:t>Attn.:</w:t>
              <w:tab/>
              <w:t>Power Contract Documentation Manager</w:t>
            </w:r>
          </w:p>
        </w:tc>
        <w:tc>
          <w:tcPr>
            <w:tcW w:w="4320" w:type="dxa"/>
            <w:tcBorders/>
          </w:tcPr>
          <w:p>
            <w:pPr>
              <w:pStyle w:val="Normal"/>
              <w:snapToGrid w:val="false"/>
              <w:jc w:val="both"/>
              <w:rPr>
                <w:sz w:val="24"/>
              </w:rPr>
            </w:pPr>
            <w:r>
              <w:rPr>
                <w:sz w:val="24"/>
              </w:rPr>
            </w:r>
          </w:p>
        </w:tc>
      </w:tr>
      <w:tr>
        <w:trPr/>
        <w:tc>
          <w:tcPr>
            <w:tcW w:w="5148" w:type="dxa"/>
            <w:tcBorders/>
          </w:tcPr>
          <w:p>
            <w:pPr>
              <w:pStyle w:val="Normal"/>
              <w:jc w:val="both"/>
              <w:rPr>
                <w:sz w:val="24"/>
              </w:rPr>
            </w:pPr>
            <w:r>
              <w:rPr>
                <w:sz w:val="24"/>
              </w:rPr>
              <w:t>Facsimile No.:  (713) 646-2443</w:t>
            </w:r>
          </w:p>
        </w:tc>
        <w:tc>
          <w:tcPr>
            <w:tcW w:w="4320" w:type="dxa"/>
            <w:tcBorders/>
          </w:tcPr>
          <w:p>
            <w:pPr>
              <w:pStyle w:val="Normal"/>
              <w:snapToGrid w:val="false"/>
              <w:jc w:val="both"/>
              <w:rPr>
                <w:sz w:val="24"/>
              </w:rPr>
            </w:pPr>
            <w:r>
              <w:rPr>
                <w:sz w:val="24"/>
              </w:rPr>
            </w:r>
          </w:p>
        </w:tc>
      </w:tr>
      <w:tr>
        <w:trPr/>
        <w:tc>
          <w:tcPr>
            <w:tcW w:w="5148" w:type="dxa"/>
            <w:tcBorders/>
          </w:tcPr>
          <w:p>
            <w:pPr>
              <w:pStyle w:val="Normal"/>
              <w:snapToGrid w:val="false"/>
              <w:jc w:val="both"/>
              <w:rPr>
                <w:sz w:val="24"/>
              </w:rPr>
            </w:pPr>
            <w:r>
              <w:rPr>
                <w:sz w:val="24"/>
              </w:rPr>
            </w:r>
          </w:p>
        </w:tc>
        <w:tc>
          <w:tcPr>
            <w:tcW w:w="4320" w:type="dxa"/>
            <w:tcBorders/>
          </w:tcPr>
          <w:p>
            <w:pPr>
              <w:pStyle w:val="Normal"/>
              <w:snapToGrid w:val="false"/>
              <w:jc w:val="both"/>
              <w:rPr>
                <w:sz w:val="24"/>
              </w:rPr>
            </w:pPr>
            <w:r>
              <w:rPr>
                <w:sz w:val="24"/>
              </w:rPr>
            </w:r>
          </w:p>
        </w:tc>
      </w:tr>
      <w:tr>
        <w:trPr/>
        <w:tc>
          <w:tcPr>
            <w:tcW w:w="5148" w:type="dxa"/>
            <w:tcBorders/>
          </w:tcPr>
          <w:p>
            <w:pPr>
              <w:pStyle w:val="Normal"/>
              <w:jc w:val="both"/>
              <w:rPr/>
            </w:pPr>
            <w:r>
              <w:rPr>
                <w:sz w:val="24"/>
                <w:u w:val="single"/>
              </w:rPr>
              <w:t>INVOICES</w:t>
            </w:r>
            <w:r>
              <w:rPr>
                <w:sz w:val="24"/>
              </w:rPr>
              <w:t>:</w:t>
            </w:r>
          </w:p>
        </w:tc>
        <w:tc>
          <w:tcPr>
            <w:tcW w:w="4320" w:type="dxa"/>
            <w:tcBorders/>
          </w:tcPr>
          <w:p>
            <w:pPr>
              <w:pStyle w:val="Normal"/>
              <w:snapToGrid w:val="false"/>
              <w:jc w:val="both"/>
              <w:rPr>
                <w:sz w:val="24"/>
              </w:rPr>
            </w:pPr>
            <w:r>
              <w:rPr>
                <w:sz w:val="24"/>
              </w:rPr>
            </w:r>
          </w:p>
        </w:tc>
      </w:tr>
      <w:tr>
        <w:trPr/>
        <w:tc>
          <w:tcPr>
            <w:tcW w:w="5148" w:type="dxa"/>
            <w:tcBorders/>
          </w:tcPr>
          <w:p>
            <w:pPr>
              <w:pStyle w:val="Normal"/>
              <w:jc w:val="both"/>
              <w:rPr>
                <w:sz w:val="24"/>
              </w:rPr>
            </w:pPr>
            <w:r>
              <w:rPr>
                <w:sz w:val="24"/>
              </w:rPr>
              <w:t>Enron Power Marketing, Inc.</w:t>
            </w:r>
          </w:p>
        </w:tc>
        <w:tc>
          <w:tcPr>
            <w:tcW w:w="4320" w:type="dxa"/>
            <w:tcBorders/>
          </w:tcPr>
          <w:p>
            <w:pPr>
              <w:pStyle w:val="Normal"/>
              <w:snapToGrid w:val="false"/>
              <w:jc w:val="both"/>
              <w:rPr>
                <w:sz w:val="24"/>
              </w:rPr>
            </w:pPr>
            <w:r>
              <w:rPr>
                <w:sz w:val="24"/>
              </w:rPr>
            </w:r>
          </w:p>
        </w:tc>
      </w:tr>
      <w:tr>
        <w:trPr/>
        <w:tc>
          <w:tcPr>
            <w:tcW w:w="5148" w:type="dxa"/>
            <w:tcBorders/>
          </w:tcPr>
          <w:p>
            <w:pPr>
              <w:pStyle w:val="Normal"/>
              <w:jc w:val="both"/>
              <w:rPr>
                <w:sz w:val="24"/>
              </w:rPr>
            </w:pPr>
            <w:r>
              <w:rPr>
                <w:sz w:val="24"/>
              </w:rPr>
              <w:t>1400 Smith Street (77002)</w:t>
            </w:r>
          </w:p>
        </w:tc>
        <w:tc>
          <w:tcPr>
            <w:tcW w:w="4320" w:type="dxa"/>
            <w:tcBorders/>
          </w:tcPr>
          <w:p>
            <w:pPr>
              <w:pStyle w:val="Normal"/>
              <w:snapToGrid w:val="false"/>
              <w:jc w:val="both"/>
              <w:rPr>
                <w:sz w:val="24"/>
              </w:rPr>
            </w:pPr>
            <w:r>
              <w:rPr>
                <w:sz w:val="24"/>
              </w:rPr>
            </w:r>
          </w:p>
        </w:tc>
      </w:tr>
      <w:tr>
        <w:trPr/>
        <w:tc>
          <w:tcPr>
            <w:tcW w:w="5148" w:type="dxa"/>
            <w:tcBorders/>
          </w:tcPr>
          <w:p>
            <w:pPr>
              <w:pStyle w:val="Normal"/>
              <w:jc w:val="both"/>
              <w:rPr>
                <w:sz w:val="24"/>
              </w:rPr>
            </w:pPr>
            <w:r>
              <w:rPr>
                <w:sz w:val="24"/>
              </w:rPr>
              <w:t>P. O. Box 4428</w:t>
            </w:r>
          </w:p>
        </w:tc>
        <w:tc>
          <w:tcPr>
            <w:tcW w:w="4320" w:type="dxa"/>
            <w:tcBorders/>
          </w:tcPr>
          <w:p>
            <w:pPr>
              <w:pStyle w:val="Normal"/>
              <w:snapToGrid w:val="false"/>
              <w:jc w:val="both"/>
              <w:rPr>
                <w:sz w:val="24"/>
              </w:rPr>
            </w:pPr>
            <w:r>
              <w:rPr>
                <w:sz w:val="24"/>
              </w:rPr>
            </w:r>
          </w:p>
        </w:tc>
      </w:tr>
      <w:tr>
        <w:trPr/>
        <w:tc>
          <w:tcPr>
            <w:tcW w:w="5148" w:type="dxa"/>
            <w:tcBorders/>
          </w:tcPr>
          <w:p>
            <w:pPr>
              <w:pStyle w:val="Normal"/>
              <w:jc w:val="both"/>
              <w:rPr>
                <w:sz w:val="24"/>
              </w:rPr>
            </w:pPr>
            <w:r>
              <w:rPr>
                <w:sz w:val="24"/>
              </w:rPr>
              <w:t>Houston, Texas  77210-4428</w:t>
            </w:r>
          </w:p>
        </w:tc>
        <w:tc>
          <w:tcPr>
            <w:tcW w:w="4320" w:type="dxa"/>
            <w:tcBorders/>
          </w:tcPr>
          <w:p>
            <w:pPr>
              <w:pStyle w:val="Normal"/>
              <w:snapToGrid w:val="false"/>
              <w:jc w:val="both"/>
              <w:rPr>
                <w:sz w:val="24"/>
              </w:rPr>
            </w:pPr>
            <w:r>
              <w:rPr>
                <w:sz w:val="24"/>
              </w:rPr>
            </w:r>
          </w:p>
        </w:tc>
      </w:tr>
      <w:tr>
        <w:trPr/>
        <w:tc>
          <w:tcPr>
            <w:tcW w:w="5148" w:type="dxa"/>
            <w:tcBorders/>
          </w:tcPr>
          <w:p>
            <w:pPr>
              <w:pStyle w:val="Normal"/>
              <w:jc w:val="both"/>
              <w:rPr>
                <w:sz w:val="24"/>
              </w:rPr>
            </w:pPr>
            <w:r>
              <w:rPr>
                <w:sz w:val="24"/>
              </w:rPr>
              <w:t>Attn.:</w:t>
              <w:tab/>
              <w:t>Power Contract Settlement Manager</w:t>
            </w:r>
          </w:p>
        </w:tc>
        <w:tc>
          <w:tcPr>
            <w:tcW w:w="4320" w:type="dxa"/>
            <w:tcBorders/>
          </w:tcPr>
          <w:p>
            <w:pPr>
              <w:pStyle w:val="Normal"/>
              <w:snapToGrid w:val="false"/>
              <w:jc w:val="both"/>
              <w:rPr>
                <w:sz w:val="24"/>
              </w:rPr>
            </w:pPr>
            <w:r>
              <w:rPr>
                <w:sz w:val="24"/>
              </w:rPr>
            </w:r>
          </w:p>
        </w:tc>
      </w:tr>
      <w:tr>
        <w:trPr/>
        <w:tc>
          <w:tcPr>
            <w:tcW w:w="5148" w:type="dxa"/>
            <w:tcBorders/>
          </w:tcPr>
          <w:p>
            <w:pPr>
              <w:pStyle w:val="Normal"/>
              <w:snapToGrid w:val="false"/>
              <w:jc w:val="both"/>
              <w:rPr>
                <w:sz w:val="24"/>
              </w:rPr>
            </w:pPr>
            <w:r>
              <w:rPr>
                <w:sz w:val="24"/>
              </w:rPr>
            </w:r>
          </w:p>
        </w:tc>
        <w:tc>
          <w:tcPr>
            <w:tcW w:w="4320" w:type="dxa"/>
            <w:tcBorders/>
          </w:tcPr>
          <w:p>
            <w:pPr>
              <w:pStyle w:val="Normal"/>
              <w:snapToGrid w:val="false"/>
              <w:jc w:val="both"/>
              <w:rPr>
                <w:sz w:val="24"/>
              </w:rPr>
            </w:pPr>
            <w:r>
              <w:rPr>
                <w:sz w:val="24"/>
              </w:rPr>
            </w:r>
          </w:p>
        </w:tc>
      </w:tr>
      <w:tr>
        <w:trPr/>
        <w:tc>
          <w:tcPr>
            <w:tcW w:w="5148" w:type="dxa"/>
            <w:tcBorders/>
          </w:tcPr>
          <w:p>
            <w:pPr>
              <w:pStyle w:val="Normal"/>
              <w:snapToGrid w:val="false"/>
              <w:jc w:val="both"/>
              <w:rPr>
                <w:sz w:val="24"/>
              </w:rPr>
            </w:pPr>
            <w:r>
              <w:rPr>
                <w:sz w:val="24"/>
              </w:rPr>
            </w:r>
          </w:p>
        </w:tc>
        <w:tc>
          <w:tcPr>
            <w:tcW w:w="4320" w:type="dxa"/>
            <w:tcBorders/>
          </w:tcPr>
          <w:p>
            <w:pPr>
              <w:pStyle w:val="Normal"/>
              <w:snapToGrid w:val="false"/>
              <w:jc w:val="both"/>
              <w:rPr>
                <w:sz w:val="24"/>
              </w:rPr>
            </w:pPr>
            <w:r>
              <w:rPr>
                <w:sz w:val="24"/>
              </w:rPr>
            </w:r>
          </w:p>
        </w:tc>
      </w:tr>
      <w:tr>
        <w:trPr/>
        <w:tc>
          <w:tcPr>
            <w:tcW w:w="5148" w:type="dxa"/>
            <w:tcBorders/>
          </w:tcPr>
          <w:p>
            <w:pPr>
              <w:pStyle w:val="Normal"/>
              <w:snapToGrid w:val="false"/>
              <w:jc w:val="both"/>
              <w:rPr>
                <w:sz w:val="24"/>
              </w:rPr>
            </w:pPr>
            <w:r>
              <w:rPr>
                <w:sz w:val="24"/>
              </w:rPr>
            </w:r>
          </w:p>
        </w:tc>
        <w:tc>
          <w:tcPr>
            <w:tcW w:w="4320" w:type="dxa"/>
            <w:tcBorders/>
          </w:tcPr>
          <w:p>
            <w:pPr>
              <w:pStyle w:val="Normal"/>
              <w:snapToGrid w:val="false"/>
              <w:jc w:val="both"/>
              <w:rPr>
                <w:sz w:val="24"/>
              </w:rPr>
            </w:pPr>
            <w:r>
              <w:rPr>
                <w:sz w:val="24"/>
              </w:rPr>
            </w:r>
          </w:p>
        </w:tc>
      </w:tr>
      <w:tr>
        <w:trPr/>
        <w:tc>
          <w:tcPr>
            <w:tcW w:w="9468" w:type="dxa"/>
            <w:gridSpan w:val="2"/>
            <w:tcBorders/>
          </w:tcPr>
          <w:p>
            <w:pPr>
              <w:pStyle w:val="Normal"/>
              <w:jc w:val="both"/>
              <w:rPr>
                <w:sz w:val="24"/>
              </w:rPr>
            </w:pPr>
            <w:r>
              <w:rPr>
                <w:b/>
                <w:sz w:val="24"/>
              </w:rPr>
              <w:t>BROWNSVILLE:</w:t>
            </w:r>
          </w:p>
        </w:tc>
      </w:tr>
      <w:tr>
        <w:trPr/>
        <w:tc>
          <w:tcPr>
            <w:tcW w:w="5148" w:type="dxa"/>
            <w:tcBorders/>
          </w:tcPr>
          <w:p>
            <w:pPr>
              <w:pStyle w:val="Normal"/>
              <w:snapToGrid w:val="false"/>
              <w:jc w:val="both"/>
              <w:rPr>
                <w:sz w:val="24"/>
              </w:rPr>
            </w:pPr>
            <w:r>
              <w:rPr>
                <w:sz w:val="24"/>
              </w:rPr>
            </w:r>
          </w:p>
        </w:tc>
        <w:tc>
          <w:tcPr>
            <w:tcW w:w="4320" w:type="dxa"/>
            <w:tcBorders/>
          </w:tcPr>
          <w:p>
            <w:pPr>
              <w:pStyle w:val="Normal"/>
              <w:snapToGrid w:val="false"/>
              <w:jc w:val="both"/>
              <w:rPr>
                <w:sz w:val="24"/>
              </w:rPr>
            </w:pPr>
            <w:r>
              <w:rPr>
                <w:sz w:val="24"/>
              </w:rPr>
            </w:r>
          </w:p>
        </w:tc>
      </w:tr>
      <w:tr>
        <w:trPr/>
        <w:tc>
          <w:tcPr>
            <w:tcW w:w="5148" w:type="dxa"/>
            <w:tcBorders/>
          </w:tcPr>
          <w:p>
            <w:pPr>
              <w:pStyle w:val="Normal"/>
              <w:jc w:val="both"/>
              <w:rPr>
                <w:sz w:val="24"/>
                <w:u w:val="single"/>
              </w:rPr>
            </w:pPr>
            <w:r>
              <w:rPr>
                <w:sz w:val="24"/>
                <w:u w:val="single"/>
              </w:rPr>
              <w:t>NOTICES, CORRESPONDENCE, &amp; INVOICES:</w:t>
            </w:r>
          </w:p>
        </w:tc>
        <w:tc>
          <w:tcPr>
            <w:tcW w:w="4320" w:type="dxa"/>
            <w:tcBorders/>
          </w:tcPr>
          <w:p>
            <w:pPr>
              <w:pStyle w:val="Normal"/>
              <w:jc w:val="both"/>
              <w:rPr>
                <w:sz w:val="24"/>
                <w:u w:val="single"/>
              </w:rPr>
            </w:pPr>
            <w:r>
              <w:rPr>
                <w:sz w:val="24"/>
                <w:u w:val="single"/>
              </w:rPr>
              <w:t>PAYMENTS:</w:t>
            </w:r>
          </w:p>
        </w:tc>
      </w:tr>
      <w:tr>
        <w:trPr/>
        <w:tc>
          <w:tcPr>
            <w:tcW w:w="5148" w:type="dxa"/>
            <w:tcBorders/>
          </w:tcPr>
          <w:p>
            <w:pPr>
              <w:pStyle w:val="Normal"/>
              <w:jc w:val="both"/>
              <w:rPr>
                <w:sz w:val="24"/>
              </w:rPr>
            </w:pPr>
            <w:r>
              <w:rPr>
                <w:sz w:val="24"/>
              </w:rPr>
              <w:t>________________________________________</w:t>
            </w:r>
          </w:p>
        </w:tc>
        <w:tc>
          <w:tcPr>
            <w:tcW w:w="4320" w:type="dxa"/>
            <w:tcBorders/>
          </w:tcPr>
          <w:p>
            <w:pPr>
              <w:pStyle w:val="Normal"/>
              <w:jc w:val="both"/>
              <w:rPr>
                <w:sz w:val="24"/>
              </w:rPr>
            </w:pPr>
            <w:r>
              <w:rPr>
                <w:sz w:val="24"/>
              </w:rPr>
              <w:t>__________________________________</w:t>
            </w:r>
          </w:p>
        </w:tc>
      </w:tr>
      <w:tr>
        <w:trPr/>
        <w:tc>
          <w:tcPr>
            <w:tcW w:w="5148" w:type="dxa"/>
            <w:tcBorders/>
          </w:tcPr>
          <w:p>
            <w:pPr>
              <w:pStyle w:val="Normal"/>
              <w:jc w:val="both"/>
              <w:rPr>
                <w:sz w:val="24"/>
              </w:rPr>
            </w:pPr>
            <w:r>
              <w:rPr>
                <w:sz w:val="24"/>
              </w:rPr>
              <w:t>________________________________________</w:t>
            </w:r>
          </w:p>
        </w:tc>
        <w:tc>
          <w:tcPr>
            <w:tcW w:w="4320" w:type="dxa"/>
            <w:tcBorders/>
          </w:tcPr>
          <w:p>
            <w:pPr>
              <w:pStyle w:val="Normal"/>
              <w:jc w:val="both"/>
              <w:rPr>
                <w:sz w:val="24"/>
              </w:rPr>
            </w:pPr>
            <w:r>
              <w:rPr>
                <w:sz w:val="24"/>
              </w:rPr>
              <w:t>__________________________________</w:t>
            </w:r>
          </w:p>
        </w:tc>
      </w:tr>
      <w:tr>
        <w:trPr/>
        <w:tc>
          <w:tcPr>
            <w:tcW w:w="5148" w:type="dxa"/>
            <w:tcBorders/>
          </w:tcPr>
          <w:p>
            <w:pPr>
              <w:pStyle w:val="Normal"/>
              <w:jc w:val="both"/>
              <w:rPr>
                <w:sz w:val="24"/>
              </w:rPr>
            </w:pPr>
            <w:r>
              <w:rPr>
                <w:sz w:val="24"/>
              </w:rPr>
              <w:t>________________________________________</w:t>
            </w:r>
          </w:p>
        </w:tc>
        <w:tc>
          <w:tcPr>
            <w:tcW w:w="4320" w:type="dxa"/>
            <w:tcBorders/>
          </w:tcPr>
          <w:p>
            <w:pPr>
              <w:pStyle w:val="Normal"/>
              <w:jc w:val="both"/>
              <w:rPr>
                <w:sz w:val="24"/>
              </w:rPr>
            </w:pPr>
            <w:r>
              <w:rPr>
                <w:sz w:val="24"/>
              </w:rPr>
              <w:t>__________________________________</w:t>
            </w:r>
          </w:p>
        </w:tc>
      </w:tr>
      <w:tr>
        <w:trPr/>
        <w:tc>
          <w:tcPr>
            <w:tcW w:w="5148" w:type="dxa"/>
            <w:tcBorders/>
          </w:tcPr>
          <w:p>
            <w:pPr>
              <w:pStyle w:val="Normal"/>
              <w:jc w:val="both"/>
              <w:rPr>
                <w:sz w:val="24"/>
              </w:rPr>
            </w:pPr>
            <w:r>
              <w:rPr>
                <w:sz w:val="24"/>
              </w:rPr>
              <w:t>Attn.:</w:t>
              <w:tab/>
              <w:t>__________________________________</w:t>
            </w:r>
          </w:p>
        </w:tc>
        <w:tc>
          <w:tcPr>
            <w:tcW w:w="4320" w:type="dxa"/>
            <w:tcBorders/>
          </w:tcPr>
          <w:p>
            <w:pPr>
              <w:pStyle w:val="Normal"/>
              <w:snapToGrid w:val="false"/>
              <w:jc w:val="both"/>
              <w:rPr>
                <w:sz w:val="24"/>
              </w:rPr>
            </w:pPr>
            <w:r>
              <w:rPr>
                <w:sz w:val="24"/>
              </w:rPr>
            </w:r>
          </w:p>
        </w:tc>
      </w:tr>
    </w:tbl>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jc w:val="both"/>
              <w:rPr>
                <w:sz w:val="24"/>
              </w:rPr>
            </w:pPr>
            <w:r>
              <w:rPr>
                <w:sz w:val="24"/>
              </w:rPr>
              <w:t xml:space="preserve">Facsimile No.:  (____) </w:t>
            </w:r>
          </w:p>
          <w:p>
            <w:pPr>
              <w:pStyle w:val="Normal"/>
              <w:jc w:val="both"/>
              <w:rPr>
                <w:sz w:val="24"/>
              </w:rPr>
            </w:pPr>
            <w:r>
              <w:rPr>
                <w:sz w:val="24"/>
              </w:rPr>
            </w:r>
          </w:p>
          <w:p>
            <w:pPr>
              <w:pStyle w:val="Normal"/>
              <w:jc w:val="both"/>
              <w:rPr>
                <w:sz w:val="24"/>
              </w:rPr>
            </w:pPr>
            <w:r>
              <w:rPr>
                <w:sz w:val="24"/>
              </w:rPr>
            </w:r>
          </w:p>
        </w:tc>
        <w:tc>
          <w:tcPr>
            <w:tcW w:w="4320" w:type="dxa"/>
            <w:tcBorders/>
          </w:tcPr>
          <w:p>
            <w:pPr>
              <w:pStyle w:val="Normal"/>
              <w:snapToGrid w:val="false"/>
              <w:jc w:val="both"/>
              <w:rPr>
                <w:sz w:val="24"/>
              </w:rPr>
            </w:pPr>
            <w:r>
              <w:rPr>
                <w:sz w:val="24"/>
              </w:rPr>
            </w:r>
          </w:p>
        </w:tc>
      </w:tr>
    </w:tbl>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jc w:val="both"/>
        <w:rPr>
          <w:sz w:val="24"/>
        </w:rPr>
      </w:pPr>
      <w:r>
        <w:rPr>
          <w:sz w:val="24"/>
        </w:rPr>
      </w:r>
    </w:p>
    <w:p>
      <w:pPr>
        <w:pStyle w:val="Normal"/>
        <w:jc w:val="center"/>
        <w:rPr>
          <w:b/>
          <w:sz w:val="24"/>
        </w:rPr>
      </w:pPr>
      <w:r>
        <w:rPr>
          <w:b/>
          <w:sz w:val="24"/>
        </w:rPr>
        <w:t>EXHIBIT B</w:t>
      </w:r>
    </w:p>
    <w:p>
      <w:pPr>
        <w:pStyle w:val="Normal"/>
        <w:jc w:val="center"/>
        <w:rPr>
          <w:b/>
          <w:sz w:val="24"/>
        </w:rPr>
      </w:pPr>
      <w:r>
        <w:rPr>
          <w:b/>
          <w:sz w:val="24"/>
        </w:rPr>
        <w:t>to the</w:t>
      </w:r>
    </w:p>
    <w:p>
      <w:pPr>
        <w:pStyle w:val="Normal"/>
        <w:jc w:val="center"/>
        <w:rPr>
          <w:b/>
          <w:sz w:val="24"/>
        </w:rPr>
      </w:pPr>
      <w:r>
        <w:rPr>
          <w:b/>
          <w:sz w:val="24"/>
        </w:rPr>
        <w:t>Natural Gas Tolling Agreement</w:t>
      </w:r>
    </w:p>
    <w:p>
      <w:pPr>
        <w:pStyle w:val="Normal"/>
        <w:jc w:val="center"/>
        <w:rPr>
          <w:b/>
          <w:sz w:val="24"/>
        </w:rPr>
      </w:pPr>
      <w:r>
        <w:rPr>
          <w:b/>
          <w:sz w:val="24"/>
        </w:rPr>
      </w:r>
    </w:p>
    <w:p>
      <w:pPr>
        <w:pStyle w:val="Normal"/>
        <w:jc w:val="center"/>
        <w:rPr>
          <w:b/>
          <w:sz w:val="24"/>
        </w:rPr>
      </w:pPr>
      <w:r>
        <w:rPr>
          <w:b/>
          <w:sz w:val="24"/>
        </w:rPr>
        <w:t>DISPATCH SCHEDULE</w:t>
      </w:r>
    </w:p>
    <w:p>
      <w:pPr>
        <w:pStyle w:val="Normal"/>
        <w:jc w:val="both"/>
        <w:rPr>
          <w:b/>
          <w:sz w:val="24"/>
        </w:rPr>
      </w:pPr>
      <w:r>
        <w:rPr>
          <w:b/>
          <w:sz w:val="24"/>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bottom w:val="single" w:sz="4" w:space="0" w:color="000000"/>
            </w:tcBorders>
          </w:tcPr>
          <w:p>
            <w:pPr>
              <w:pStyle w:val="Normal"/>
              <w:jc w:val="both"/>
              <w:rPr>
                <w:rFonts w:ascii="Arial" w:hAnsi="Arial" w:cs="Arial"/>
                <w:b/>
              </w:rPr>
            </w:pPr>
            <w:r>
              <w:rPr>
                <w:rFonts w:cs="Arial" w:ascii="Arial" w:hAnsi="Arial"/>
                <w:b/>
              </w:rPr>
              <w:t>Notice</w:t>
            </w:r>
          </w:p>
        </w:tc>
        <w:tc>
          <w:tcPr>
            <w:tcW w:w="7740" w:type="dxa"/>
            <w:tcBorders>
              <w:bottom w:val="single" w:sz="4" w:space="0" w:color="000000"/>
            </w:tcBorders>
          </w:tcPr>
          <w:p>
            <w:pPr>
              <w:pStyle w:val="Normal"/>
              <w:snapToGrid w:val="false"/>
              <w:jc w:val="both"/>
              <w:rPr>
                <w:rFonts w:ascii="Arial" w:hAnsi="Arial" w:cs="Arial"/>
                <w:b/>
              </w:rPr>
            </w:pPr>
            <w:r>
              <w:rPr>
                <w:rFonts w:cs="Arial" w:ascii="Arial" w:hAnsi="Arial"/>
                <w:b/>
              </w:rPr>
            </w:r>
          </w:p>
        </w:tc>
      </w:tr>
      <w:tr>
        <w:trPr/>
        <w:tc>
          <w:tcPr>
            <w:tcW w:w="1818" w:type="dxa"/>
            <w:tcBorders>
              <w:top w:val="single" w:sz="4" w:space="0" w:color="000000"/>
              <w:start w:val="single" w:sz="4" w:space="0" w:color="000000"/>
              <w:bottom w:val="single" w:sz="4" w:space="0" w:color="000000"/>
              <w:end w:val="single" w:sz="4" w:space="0" w:color="000000"/>
            </w:tcBorders>
          </w:tcPr>
          <w:p>
            <w:pPr>
              <w:pStyle w:val="Justified"/>
              <w:spacing w:before="0" w:after="0"/>
              <w:jc w:val="both"/>
              <w:rPr>
                <w:rFonts w:ascii="Arial" w:hAnsi="Arial" w:cs="Arial"/>
              </w:rPr>
            </w:pPr>
            <w:r>
              <w:rPr>
                <w:rFonts w:cs="Arial" w:ascii="Arial" w:hAnsi="Arial"/>
              </w:rPr>
              <w:t>To:</w:t>
            </w:r>
          </w:p>
        </w:tc>
        <w:tc>
          <w:tcPr>
            <w:tcW w:w="77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r>
        <w:trPr/>
        <w:tc>
          <w:tcPr>
            <w:tcW w:w="1818" w:type="dxa"/>
            <w:tcBorders>
              <w:top w:val="single" w:sz="4" w:space="0" w:color="000000"/>
              <w:start w:val="single" w:sz="4" w:space="0" w:color="000000"/>
              <w:bottom w:val="single" w:sz="4" w:space="0" w:color="000000"/>
              <w:end w:val="single" w:sz="4" w:space="0" w:color="000000"/>
            </w:tcBorders>
          </w:tcPr>
          <w:p>
            <w:pPr>
              <w:pStyle w:val="Justified"/>
              <w:spacing w:before="0" w:after="0"/>
              <w:jc w:val="both"/>
              <w:rPr>
                <w:rFonts w:ascii="Arial" w:hAnsi="Arial" w:cs="Arial"/>
              </w:rPr>
            </w:pPr>
            <w:r>
              <w:rPr>
                <w:rFonts w:cs="Arial" w:ascii="Arial" w:hAnsi="Arial"/>
              </w:rPr>
              <w:t>Fax #:</w:t>
            </w:r>
          </w:p>
        </w:tc>
        <w:tc>
          <w:tcPr>
            <w:tcW w:w="77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r>
        <w:trPr/>
        <w:tc>
          <w:tcPr>
            <w:tcW w:w="1818" w:type="dxa"/>
            <w:tcBorders>
              <w:top w:val="single" w:sz="4" w:space="0" w:color="000000"/>
              <w:start w:val="single" w:sz="4" w:space="0" w:color="000000"/>
              <w:bottom w:val="single" w:sz="4" w:space="0" w:color="000000"/>
              <w:end w:val="single" w:sz="4" w:space="0" w:color="000000"/>
            </w:tcBorders>
          </w:tcPr>
          <w:p>
            <w:pPr>
              <w:pStyle w:val="Justified"/>
              <w:spacing w:before="0" w:after="0"/>
              <w:jc w:val="both"/>
              <w:rPr>
                <w:rFonts w:ascii="Arial" w:hAnsi="Arial" w:cs="Arial"/>
              </w:rPr>
            </w:pPr>
            <w:r>
              <w:rPr>
                <w:rFonts w:cs="Arial" w:ascii="Arial" w:hAnsi="Arial"/>
              </w:rPr>
              <w:t>Date:</w:t>
            </w:r>
          </w:p>
        </w:tc>
        <w:tc>
          <w:tcPr>
            <w:tcW w:w="77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r>
        <w:trPr/>
        <w:tc>
          <w:tcPr>
            <w:tcW w:w="1818" w:type="dxa"/>
            <w:tcBorders>
              <w:top w:val="single" w:sz="4" w:space="0" w:color="000000"/>
              <w:start w:val="single" w:sz="4" w:space="0" w:color="000000"/>
              <w:bottom w:val="single" w:sz="4" w:space="0" w:color="000000"/>
              <w:end w:val="single" w:sz="4" w:space="0" w:color="000000"/>
            </w:tcBorders>
          </w:tcPr>
          <w:p>
            <w:pPr>
              <w:pStyle w:val="Justified"/>
              <w:spacing w:before="0" w:after="0"/>
              <w:jc w:val="both"/>
              <w:rPr>
                <w:rFonts w:ascii="Arial" w:hAnsi="Arial" w:cs="Arial"/>
              </w:rPr>
            </w:pPr>
            <w:r>
              <w:rPr>
                <w:rFonts w:cs="Arial" w:ascii="Arial" w:hAnsi="Arial"/>
              </w:rPr>
              <w:t>Time:</w:t>
            </w:r>
          </w:p>
        </w:tc>
        <w:tc>
          <w:tcPr>
            <w:tcW w:w="77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bl>
    <w:p>
      <w:pPr>
        <w:pStyle w:val="Normal"/>
        <w:jc w:val="both"/>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1188"/>
        <w:gridCol w:w="1710"/>
        <w:gridCol w:w="1710"/>
        <w:gridCol w:w="1710"/>
        <w:gridCol w:w="1710"/>
        <w:gridCol w:w="1530"/>
      </w:tblGrid>
      <w:tr>
        <w:trPr/>
        <w:tc>
          <w:tcPr>
            <w:tcW w:w="1188" w:type="dxa"/>
            <w:tcBorders>
              <w:top w:val="single" w:sz="4" w:space="0" w:color="000000"/>
              <w:start w:val="single" w:sz="4" w:space="0" w:color="000000"/>
              <w:bottom w:val="single" w:sz="4" w:space="0" w:color="000000"/>
              <w:end w:val="single" w:sz="4" w:space="0" w:color="00FFFF"/>
            </w:tcBorders>
            <w:shd w:fill="F2F2F2" w:val="clear"/>
          </w:tcPr>
          <w:p>
            <w:pPr>
              <w:pStyle w:val="Heading5"/>
              <w:ind w:hanging="0" w:start="0"/>
              <w:jc w:val="both"/>
              <w:rPr/>
            </w:pPr>
            <w:r>
              <w:rPr/>
              <w:t>Hour</w:t>
            </w:r>
          </w:p>
          <w:p>
            <w:pPr>
              <w:pStyle w:val="Normal"/>
              <w:jc w:val="both"/>
              <w:rPr>
                <w:rFonts w:ascii="Arial" w:hAnsi="Arial" w:cs="Arial"/>
                <w:b/>
                <w:sz w:val="16"/>
              </w:rPr>
            </w:pPr>
            <w:r>
              <w:rPr>
                <w:rFonts w:cs="Arial" w:ascii="Arial" w:hAnsi="Arial"/>
                <w:b/>
                <w:sz w:val="16"/>
              </w:rPr>
              <w:t>Ending</w:t>
            </w:r>
          </w:p>
        </w:tc>
        <w:tc>
          <w:tcPr>
            <w:tcW w:w="1710" w:type="dxa"/>
            <w:tcBorders>
              <w:top w:val="single" w:sz="4" w:space="0" w:color="000000"/>
              <w:start w:val="single" w:sz="4" w:space="0" w:color="00FFFF"/>
              <w:bottom w:val="single" w:sz="4" w:space="0" w:color="000000"/>
              <w:end w:val="single" w:sz="4" w:space="0" w:color="00FFFF"/>
            </w:tcBorders>
            <w:shd w:fill="F2F2F2" w:val="clear"/>
          </w:tcPr>
          <w:p>
            <w:pPr>
              <w:pStyle w:val="Normal"/>
              <w:jc w:val="both"/>
              <w:rPr>
                <w:rFonts w:ascii="Arial" w:hAnsi="Arial" w:cs="Arial"/>
                <w:b/>
                <w:sz w:val="16"/>
              </w:rPr>
            </w:pPr>
            <w:r>
              <w:rPr>
                <w:rFonts w:cs="Arial" w:ascii="Arial" w:hAnsi="Arial"/>
                <w:b/>
                <w:sz w:val="16"/>
              </w:rPr>
              <w:t>GT1-West 501D5</w:t>
            </w:r>
          </w:p>
          <w:p>
            <w:pPr>
              <w:pStyle w:val="Normal"/>
              <w:jc w:val="both"/>
              <w:rPr>
                <w:rFonts w:ascii="Arial" w:hAnsi="Arial" w:cs="Arial"/>
                <w:b/>
                <w:sz w:val="16"/>
              </w:rPr>
            </w:pPr>
            <w:r>
              <w:rPr>
                <w:rFonts w:cs="Arial" w:ascii="Arial" w:hAnsi="Arial"/>
                <w:b/>
                <w:sz w:val="16"/>
              </w:rPr>
              <w:t>MW Dispatch</w:t>
            </w:r>
          </w:p>
        </w:tc>
        <w:tc>
          <w:tcPr>
            <w:tcW w:w="1710" w:type="dxa"/>
            <w:tcBorders>
              <w:top w:val="single" w:sz="4" w:space="0" w:color="000000"/>
              <w:start w:val="single" w:sz="4" w:space="0" w:color="00FFFF"/>
              <w:bottom w:val="single" w:sz="4" w:space="0" w:color="000000"/>
              <w:end w:val="single" w:sz="4" w:space="0" w:color="00FFFF"/>
            </w:tcBorders>
            <w:shd w:fill="F2F2F2" w:val="clear"/>
          </w:tcPr>
          <w:p>
            <w:pPr>
              <w:pStyle w:val="Normal"/>
              <w:jc w:val="both"/>
              <w:rPr>
                <w:rFonts w:ascii="Arial" w:hAnsi="Arial" w:cs="Arial"/>
                <w:b/>
                <w:sz w:val="16"/>
              </w:rPr>
            </w:pPr>
            <w:r>
              <w:rPr>
                <w:rFonts w:cs="Arial" w:ascii="Arial" w:hAnsi="Arial"/>
                <w:b/>
                <w:sz w:val="16"/>
              </w:rPr>
              <w:t>GT2-West 501D</w:t>
            </w:r>
          </w:p>
          <w:p>
            <w:pPr>
              <w:pStyle w:val="Normal"/>
              <w:jc w:val="both"/>
              <w:rPr>
                <w:rFonts w:ascii="Arial" w:hAnsi="Arial" w:cs="Arial"/>
                <w:b/>
                <w:sz w:val="16"/>
              </w:rPr>
            </w:pPr>
            <w:r>
              <w:rPr>
                <w:rFonts w:cs="Arial" w:ascii="Arial" w:hAnsi="Arial"/>
                <w:b/>
                <w:sz w:val="16"/>
              </w:rPr>
              <w:t>MW Dispatch</w:t>
            </w:r>
          </w:p>
        </w:tc>
        <w:tc>
          <w:tcPr>
            <w:tcW w:w="1710" w:type="dxa"/>
            <w:tcBorders>
              <w:top w:val="single" w:sz="4" w:space="0" w:color="000000"/>
              <w:start w:val="single" w:sz="4" w:space="0" w:color="00FFFF"/>
              <w:bottom w:val="single" w:sz="4" w:space="0" w:color="000000"/>
              <w:end w:val="single" w:sz="4" w:space="0" w:color="00FFFF"/>
            </w:tcBorders>
            <w:shd w:fill="F2F2F2" w:val="clear"/>
          </w:tcPr>
          <w:p>
            <w:pPr>
              <w:pStyle w:val="Normal"/>
              <w:jc w:val="both"/>
              <w:rPr>
                <w:rFonts w:ascii="Arial" w:hAnsi="Arial" w:cs="Arial"/>
                <w:b/>
                <w:sz w:val="16"/>
              </w:rPr>
            </w:pPr>
            <w:r>
              <w:rPr>
                <w:rFonts w:cs="Arial" w:ascii="Arial" w:hAnsi="Arial"/>
                <w:b/>
                <w:sz w:val="16"/>
              </w:rPr>
              <w:t>GT3-West 501D5A</w:t>
            </w:r>
          </w:p>
          <w:p>
            <w:pPr>
              <w:pStyle w:val="Normal"/>
              <w:jc w:val="both"/>
              <w:rPr>
                <w:rFonts w:ascii="Arial" w:hAnsi="Arial" w:cs="Arial"/>
                <w:b/>
                <w:sz w:val="16"/>
              </w:rPr>
            </w:pPr>
            <w:r>
              <w:rPr>
                <w:rFonts w:cs="Arial" w:ascii="Arial" w:hAnsi="Arial"/>
                <w:b/>
                <w:sz w:val="16"/>
              </w:rPr>
              <w:t>MW Dispatch</w:t>
            </w:r>
          </w:p>
        </w:tc>
        <w:tc>
          <w:tcPr>
            <w:tcW w:w="1710" w:type="dxa"/>
            <w:tcBorders>
              <w:top w:val="single" w:sz="4" w:space="0" w:color="000000"/>
              <w:start w:val="single" w:sz="4" w:space="0" w:color="00FFFF"/>
              <w:bottom w:val="single" w:sz="4" w:space="0" w:color="000000"/>
              <w:end w:val="single" w:sz="4" w:space="0" w:color="00FFFF"/>
            </w:tcBorders>
            <w:shd w:fill="F2F2F2" w:val="clear"/>
          </w:tcPr>
          <w:p>
            <w:pPr>
              <w:pStyle w:val="Normal"/>
              <w:jc w:val="both"/>
              <w:rPr>
                <w:rFonts w:ascii="Arial" w:hAnsi="Arial" w:cs="Arial"/>
                <w:b/>
                <w:sz w:val="16"/>
              </w:rPr>
            </w:pPr>
            <w:r>
              <w:rPr>
                <w:rFonts w:cs="Arial" w:ascii="Arial" w:hAnsi="Arial"/>
                <w:b/>
                <w:sz w:val="16"/>
              </w:rPr>
              <w:t>GT4-West 510D5A</w:t>
            </w:r>
          </w:p>
          <w:p>
            <w:pPr>
              <w:pStyle w:val="Normal"/>
              <w:jc w:val="both"/>
              <w:rPr>
                <w:rFonts w:ascii="Arial" w:hAnsi="Arial" w:cs="Arial"/>
                <w:b/>
                <w:sz w:val="16"/>
              </w:rPr>
            </w:pPr>
            <w:r>
              <w:rPr>
                <w:rFonts w:cs="Arial" w:ascii="Arial" w:hAnsi="Arial"/>
                <w:b/>
                <w:sz w:val="16"/>
              </w:rPr>
              <w:t>MW Dispatch</w:t>
            </w:r>
          </w:p>
        </w:tc>
        <w:tc>
          <w:tcPr>
            <w:tcW w:w="1530" w:type="dxa"/>
            <w:tcBorders>
              <w:top w:val="single" w:sz="4" w:space="0" w:color="000000"/>
              <w:start w:val="single" w:sz="4" w:space="0" w:color="00FFFF"/>
              <w:bottom w:val="single" w:sz="4" w:space="0" w:color="000000"/>
              <w:end w:val="single" w:sz="4" w:space="0" w:color="000000"/>
            </w:tcBorders>
            <w:shd w:fill="F2F2F2" w:val="clear"/>
          </w:tcPr>
          <w:p>
            <w:pPr>
              <w:pStyle w:val="Normal"/>
              <w:jc w:val="both"/>
              <w:rPr>
                <w:rFonts w:ascii="Arial" w:hAnsi="Arial" w:cs="Arial"/>
                <w:b/>
                <w:sz w:val="16"/>
              </w:rPr>
            </w:pPr>
            <w:r>
              <w:rPr>
                <w:rFonts w:cs="Arial" w:ascii="Arial" w:hAnsi="Arial"/>
                <w:b/>
                <w:sz w:val="16"/>
              </w:rPr>
              <w:t>Total Plant</w:t>
            </w:r>
          </w:p>
          <w:p>
            <w:pPr>
              <w:pStyle w:val="Normal"/>
              <w:jc w:val="both"/>
              <w:rPr>
                <w:rFonts w:ascii="Arial" w:hAnsi="Arial" w:cs="Arial"/>
                <w:b/>
                <w:sz w:val="16"/>
              </w:rPr>
            </w:pPr>
            <w:r>
              <w:rPr>
                <w:rFonts w:cs="Arial" w:ascii="Arial" w:hAnsi="Arial"/>
                <w:b/>
                <w:sz w:val="16"/>
              </w:rPr>
              <w:t>MW Dispatch</w:t>
            </w:r>
          </w:p>
        </w:tc>
      </w:tr>
      <w:tr>
        <w:trPr/>
        <w:tc>
          <w:tcPr>
            <w:tcW w:w="1188" w:type="dxa"/>
            <w:tcBorders>
              <w:start w:val="single" w:sz="4" w:space="0" w:color="000000"/>
              <w:bottom w:val="single" w:sz="4" w:space="0" w:color="00FFFF"/>
              <w:end w:val="single" w:sz="4" w:space="0" w:color="00FFFF"/>
            </w:tcBorders>
          </w:tcPr>
          <w:p>
            <w:pPr>
              <w:pStyle w:val="Normal"/>
              <w:jc w:val="both"/>
              <w:rPr>
                <w:rFonts w:ascii="Arial" w:hAnsi="Arial" w:cs="Arial"/>
                <w:sz w:val="16"/>
              </w:rPr>
            </w:pPr>
            <w:r>
              <w:rPr>
                <w:rFonts w:cs="Arial" w:ascii="Arial" w:hAnsi="Arial"/>
                <w:sz w:val="16"/>
              </w:rPr>
              <w:t>0100</w:t>
            </w:r>
          </w:p>
        </w:tc>
        <w:tc>
          <w:tcPr>
            <w:tcW w:w="1710" w:type="dxa"/>
            <w:tcBorders>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start w:val="single" w:sz="4" w:space="0" w:color="00FFFF"/>
              <w:bottom w:val="single" w:sz="4" w:space="0" w:color="00FFFF"/>
              <w:end w:val="single" w:sz="4" w:space="0" w:color="000000"/>
            </w:tcBorders>
          </w:tcPr>
          <w:p>
            <w:pPr>
              <w:pStyle w:val="Normal"/>
              <w:snapToGrid w:val="false"/>
              <w:jc w:val="both"/>
              <w:rPr>
                <w:rFonts w:ascii="Arial" w:hAnsi="Arial" w:cs="Arial"/>
                <w:sz w:val="16"/>
              </w:rPr>
            </w:pPr>
            <w:r>
              <w:rPr>
                <w:rFonts w:cs="Arial" w:ascii="Arial" w:hAnsi="Arial"/>
                <w:sz w:val="16"/>
              </w:rPr>
            </w:r>
          </w:p>
        </w:tc>
      </w:tr>
      <w:tr>
        <w:trPr/>
        <w:tc>
          <w:tcPr>
            <w:tcW w:w="1188" w:type="dxa"/>
            <w:tcBorders>
              <w:top w:val="single" w:sz="4" w:space="0" w:color="00FFFF"/>
              <w:start w:val="single" w:sz="4" w:space="0" w:color="000000"/>
              <w:bottom w:val="single" w:sz="4" w:space="0" w:color="00FFFF"/>
              <w:end w:val="single" w:sz="4" w:space="0" w:color="00FFFF"/>
            </w:tcBorders>
          </w:tcPr>
          <w:p>
            <w:pPr>
              <w:pStyle w:val="Normal"/>
              <w:jc w:val="both"/>
              <w:rPr>
                <w:rFonts w:ascii="Arial" w:hAnsi="Arial" w:cs="Arial"/>
                <w:sz w:val="16"/>
              </w:rPr>
            </w:pPr>
            <w:r>
              <w:rPr>
                <w:rFonts w:cs="Arial" w:ascii="Arial" w:hAnsi="Arial"/>
                <w:sz w:val="16"/>
              </w:rPr>
              <w:t>0200</w:t>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top w:val="single" w:sz="4" w:space="0" w:color="00FFFF"/>
              <w:start w:val="single" w:sz="4" w:space="0" w:color="00FFFF"/>
              <w:bottom w:val="single" w:sz="4" w:space="0" w:color="00FFFF"/>
              <w:end w:val="single" w:sz="4" w:space="0" w:color="000000"/>
            </w:tcBorders>
          </w:tcPr>
          <w:p>
            <w:pPr>
              <w:pStyle w:val="Normal"/>
              <w:snapToGrid w:val="false"/>
              <w:jc w:val="both"/>
              <w:rPr>
                <w:rFonts w:ascii="Arial" w:hAnsi="Arial" w:cs="Arial"/>
                <w:sz w:val="16"/>
              </w:rPr>
            </w:pPr>
            <w:r>
              <w:rPr>
                <w:rFonts w:cs="Arial" w:ascii="Arial" w:hAnsi="Arial"/>
                <w:sz w:val="16"/>
              </w:rPr>
            </w:r>
          </w:p>
        </w:tc>
      </w:tr>
      <w:tr>
        <w:trPr/>
        <w:tc>
          <w:tcPr>
            <w:tcW w:w="1188" w:type="dxa"/>
            <w:tcBorders>
              <w:top w:val="single" w:sz="4" w:space="0" w:color="00FFFF"/>
              <w:start w:val="single" w:sz="4" w:space="0" w:color="000000"/>
              <w:bottom w:val="single" w:sz="4" w:space="0" w:color="00FFFF"/>
              <w:end w:val="single" w:sz="4" w:space="0" w:color="00FFFF"/>
            </w:tcBorders>
          </w:tcPr>
          <w:p>
            <w:pPr>
              <w:pStyle w:val="Normal"/>
              <w:jc w:val="both"/>
              <w:rPr>
                <w:rFonts w:ascii="Arial" w:hAnsi="Arial" w:cs="Arial"/>
                <w:sz w:val="16"/>
              </w:rPr>
            </w:pPr>
            <w:r>
              <w:rPr>
                <w:rFonts w:cs="Arial" w:ascii="Arial" w:hAnsi="Arial"/>
                <w:sz w:val="16"/>
              </w:rPr>
              <w:t>0300</w:t>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top w:val="single" w:sz="4" w:space="0" w:color="00FFFF"/>
              <w:start w:val="single" w:sz="4" w:space="0" w:color="00FFFF"/>
              <w:bottom w:val="single" w:sz="4" w:space="0" w:color="00FFFF"/>
              <w:end w:val="single" w:sz="4" w:space="0" w:color="000000"/>
            </w:tcBorders>
          </w:tcPr>
          <w:p>
            <w:pPr>
              <w:pStyle w:val="Normal"/>
              <w:snapToGrid w:val="false"/>
              <w:jc w:val="both"/>
              <w:rPr>
                <w:rFonts w:ascii="Arial" w:hAnsi="Arial" w:cs="Arial"/>
                <w:sz w:val="16"/>
              </w:rPr>
            </w:pPr>
            <w:r>
              <w:rPr>
                <w:rFonts w:cs="Arial" w:ascii="Arial" w:hAnsi="Arial"/>
                <w:sz w:val="16"/>
              </w:rPr>
            </w:r>
          </w:p>
        </w:tc>
      </w:tr>
      <w:tr>
        <w:trPr/>
        <w:tc>
          <w:tcPr>
            <w:tcW w:w="1188" w:type="dxa"/>
            <w:tcBorders>
              <w:top w:val="single" w:sz="4" w:space="0" w:color="00FFFF"/>
              <w:start w:val="single" w:sz="4" w:space="0" w:color="000000"/>
              <w:bottom w:val="single" w:sz="4" w:space="0" w:color="00FFFF"/>
              <w:end w:val="single" w:sz="4" w:space="0" w:color="00FFFF"/>
            </w:tcBorders>
          </w:tcPr>
          <w:p>
            <w:pPr>
              <w:pStyle w:val="Normal"/>
              <w:jc w:val="both"/>
              <w:rPr>
                <w:rFonts w:ascii="Arial" w:hAnsi="Arial" w:cs="Arial"/>
                <w:sz w:val="16"/>
              </w:rPr>
            </w:pPr>
            <w:r>
              <w:rPr>
                <w:rFonts w:cs="Arial" w:ascii="Arial" w:hAnsi="Arial"/>
                <w:sz w:val="16"/>
              </w:rPr>
              <w:t>0400</w:t>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top w:val="single" w:sz="4" w:space="0" w:color="00FFFF"/>
              <w:start w:val="single" w:sz="4" w:space="0" w:color="00FFFF"/>
              <w:bottom w:val="single" w:sz="4" w:space="0" w:color="00FFFF"/>
              <w:end w:val="single" w:sz="4" w:space="0" w:color="000000"/>
            </w:tcBorders>
          </w:tcPr>
          <w:p>
            <w:pPr>
              <w:pStyle w:val="Normal"/>
              <w:snapToGrid w:val="false"/>
              <w:jc w:val="both"/>
              <w:rPr>
                <w:rFonts w:ascii="Arial" w:hAnsi="Arial" w:cs="Arial"/>
                <w:sz w:val="16"/>
              </w:rPr>
            </w:pPr>
            <w:r>
              <w:rPr>
                <w:rFonts w:cs="Arial" w:ascii="Arial" w:hAnsi="Arial"/>
                <w:sz w:val="16"/>
              </w:rPr>
            </w:r>
          </w:p>
        </w:tc>
      </w:tr>
      <w:tr>
        <w:trPr/>
        <w:tc>
          <w:tcPr>
            <w:tcW w:w="1188" w:type="dxa"/>
            <w:tcBorders>
              <w:top w:val="single" w:sz="4" w:space="0" w:color="00FFFF"/>
              <w:start w:val="single" w:sz="4" w:space="0" w:color="000000"/>
              <w:bottom w:val="single" w:sz="4" w:space="0" w:color="00FFFF"/>
              <w:end w:val="single" w:sz="4" w:space="0" w:color="00FFFF"/>
            </w:tcBorders>
          </w:tcPr>
          <w:p>
            <w:pPr>
              <w:pStyle w:val="Normal"/>
              <w:jc w:val="both"/>
              <w:rPr>
                <w:rFonts w:ascii="Arial" w:hAnsi="Arial" w:cs="Arial"/>
                <w:sz w:val="16"/>
              </w:rPr>
            </w:pPr>
            <w:r>
              <w:rPr>
                <w:rFonts w:cs="Arial" w:ascii="Arial" w:hAnsi="Arial"/>
                <w:sz w:val="16"/>
              </w:rPr>
              <w:t>0500</w:t>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top w:val="single" w:sz="4" w:space="0" w:color="00FFFF"/>
              <w:start w:val="single" w:sz="4" w:space="0" w:color="00FFFF"/>
              <w:bottom w:val="single" w:sz="4" w:space="0" w:color="00FFFF"/>
              <w:end w:val="single" w:sz="4" w:space="0" w:color="000000"/>
            </w:tcBorders>
          </w:tcPr>
          <w:p>
            <w:pPr>
              <w:pStyle w:val="Normal"/>
              <w:snapToGrid w:val="false"/>
              <w:jc w:val="both"/>
              <w:rPr>
                <w:rFonts w:ascii="Arial" w:hAnsi="Arial" w:cs="Arial"/>
                <w:sz w:val="16"/>
              </w:rPr>
            </w:pPr>
            <w:r>
              <w:rPr>
                <w:rFonts w:cs="Arial" w:ascii="Arial" w:hAnsi="Arial"/>
                <w:sz w:val="16"/>
              </w:rPr>
            </w:r>
          </w:p>
        </w:tc>
      </w:tr>
      <w:tr>
        <w:trPr/>
        <w:tc>
          <w:tcPr>
            <w:tcW w:w="1188" w:type="dxa"/>
            <w:tcBorders>
              <w:top w:val="single" w:sz="4" w:space="0" w:color="00FFFF"/>
              <w:start w:val="single" w:sz="4" w:space="0" w:color="000000"/>
              <w:bottom w:val="single" w:sz="4" w:space="0" w:color="00FFFF"/>
              <w:end w:val="single" w:sz="4" w:space="0" w:color="00FFFF"/>
            </w:tcBorders>
          </w:tcPr>
          <w:p>
            <w:pPr>
              <w:pStyle w:val="Normal"/>
              <w:jc w:val="both"/>
              <w:rPr>
                <w:rFonts w:ascii="Arial" w:hAnsi="Arial" w:cs="Arial"/>
                <w:sz w:val="16"/>
              </w:rPr>
            </w:pPr>
            <w:r>
              <w:rPr>
                <w:rFonts w:cs="Arial" w:ascii="Arial" w:hAnsi="Arial"/>
                <w:sz w:val="16"/>
              </w:rPr>
              <w:t>0600</w:t>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top w:val="single" w:sz="4" w:space="0" w:color="00FFFF"/>
              <w:start w:val="single" w:sz="4" w:space="0" w:color="00FFFF"/>
              <w:bottom w:val="single" w:sz="4" w:space="0" w:color="00FFFF"/>
              <w:end w:val="single" w:sz="4" w:space="0" w:color="000000"/>
            </w:tcBorders>
          </w:tcPr>
          <w:p>
            <w:pPr>
              <w:pStyle w:val="Normal"/>
              <w:snapToGrid w:val="false"/>
              <w:jc w:val="both"/>
              <w:rPr>
                <w:rFonts w:ascii="Arial" w:hAnsi="Arial" w:cs="Arial"/>
                <w:sz w:val="16"/>
              </w:rPr>
            </w:pPr>
            <w:r>
              <w:rPr>
                <w:rFonts w:cs="Arial" w:ascii="Arial" w:hAnsi="Arial"/>
                <w:sz w:val="16"/>
              </w:rPr>
            </w:r>
          </w:p>
        </w:tc>
      </w:tr>
      <w:tr>
        <w:trPr/>
        <w:tc>
          <w:tcPr>
            <w:tcW w:w="1188" w:type="dxa"/>
            <w:tcBorders>
              <w:top w:val="single" w:sz="4" w:space="0" w:color="00FFFF"/>
              <w:start w:val="single" w:sz="4" w:space="0" w:color="000000"/>
              <w:bottom w:val="single" w:sz="4" w:space="0" w:color="00FFFF"/>
              <w:end w:val="single" w:sz="4" w:space="0" w:color="00FFFF"/>
            </w:tcBorders>
          </w:tcPr>
          <w:p>
            <w:pPr>
              <w:pStyle w:val="Normal"/>
              <w:jc w:val="both"/>
              <w:rPr>
                <w:rFonts w:ascii="Arial" w:hAnsi="Arial" w:cs="Arial"/>
                <w:sz w:val="16"/>
              </w:rPr>
            </w:pPr>
            <w:r>
              <w:rPr>
                <w:rFonts w:cs="Arial" w:ascii="Arial" w:hAnsi="Arial"/>
                <w:sz w:val="16"/>
              </w:rPr>
              <w:t>0700</w:t>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top w:val="single" w:sz="4" w:space="0" w:color="00FFFF"/>
              <w:start w:val="single" w:sz="4" w:space="0" w:color="00FFFF"/>
              <w:bottom w:val="single" w:sz="4" w:space="0" w:color="00FFFF"/>
              <w:end w:val="single" w:sz="4" w:space="0" w:color="000000"/>
            </w:tcBorders>
          </w:tcPr>
          <w:p>
            <w:pPr>
              <w:pStyle w:val="Normal"/>
              <w:snapToGrid w:val="false"/>
              <w:jc w:val="both"/>
              <w:rPr>
                <w:rFonts w:ascii="Arial" w:hAnsi="Arial" w:cs="Arial"/>
                <w:sz w:val="16"/>
              </w:rPr>
            </w:pPr>
            <w:r>
              <w:rPr>
                <w:rFonts w:cs="Arial" w:ascii="Arial" w:hAnsi="Arial"/>
                <w:sz w:val="16"/>
              </w:rPr>
            </w:r>
          </w:p>
        </w:tc>
      </w:tr>
      <w:tr>
        <w:trPr/>
        <w:tc>
          <w:tcPr>
            <w:tcW w:w="1188" w:type="dxa"/>
            <w:tcBorders>
              <w:top w:val="single" w:sz="4" w:space="0" w:color="00FFFF"/>
              <w:start w:val="single" w:sz="4" w:space="0" w:color="000000"/>
              <w:bottom w:val="single" w:sz="4" w:space="0" w:color="00FFFF"/>
              <w:end w:val="single" w:sz="4" w:space="0" w:color="00FFFF"/>
            </w:tcBorders>
          </w:tcPr>
          <w:p>
            <w:pPr>
              <w:pStyle w:val="Normal"/>
              <w:jc w:val="both"/>
              <w:rPr>
                <w:rFonts w:ascii="Arial" w:hAnsi="Arial" w:cs="Arial"/>
                <w:sz w:val="16"/>
              </w:rPr>
            </w:pPr>
            <w:r>
              <w:rPr>
                <w:rFonts w:cs="Arial" w:ascii="Arial" w:hAnsi="Arial"/>
                <w:sz w:val="16"/>
              </w:rPr>
              <w:t>0800</w:t>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top w:val="single" w:sz="4" w:space="0" w:color="00FFFF"/>
              <w:start w:val="single" w:sz="4" w:space="0" w:color="00FFFF"/>
              <w:bottom w:val="single" w:sz="4" w:space="0" w:color="00FFFF"/>
              <w:end w:val="single" w:sz="4" w:space="0" w:color="000000"/>
            </w:tcBorders>
          </w:tcPr>
          <w:p>
            <w:pPr>
              <w:pStyle w:val="Normal"/>
              <w:snapToGrid w:val="false"/>
              <w:jc w:val="both"/>
              <w:rPr>
                <w:rFonts w:ascii="Arial" w:hAnsi="Arial" w:cs="Arial"/>
                <w:sz w:val="16"/>
              </w:rPr>
            </w:pPr>
            <w:r>
              <w:rPr>
                <w:rFonts w:cs="Arial" w:ascii="Arial" w:hAnsi="Arial"/>
                <w:sz w:val="16"/>
              </w:rPr>
            </w:r>
          </w:p>
        </w:tc>
      </w:tr>
      <w:tr>
        <w:trPr/>
        <w:tc>
          <w:tcPr>
            <w:tcW w:w="1188" w:type="dxa"/>
            <w:tcBorders>
              <w:top w:val="single" w:sz="4" w:space="0" w:color="00FFFF"/>
              <w:start w:val="single" w:sz="4" w:space="0" w:color="000000"/>
              <w:bottom w:val="single" w:sz="4" w:space="0" w:color="00FFFF"/>
              <w:end w:val="single" w:sz="4" w:space="0" w:color="00FFFF"/>
            </w:tcBorders>
          </w:tcPr>
          <w:p>
            <w:pPr>
              <w:pStyle w:val="Normal"/>
              <w:jc w:val="both"/>
              <w:rPr>
                <w:rFonts w:ascii="Arial" w:hAnsi="Arial" w:cs="Arial"/>
                <w:sz w:val="16"/>
              </w:rPr>
            </w:pPr>
            <w:r>
              <w:rPr>
                <w:rFonts w:cs="Arial" w:ascii="Arial" w:hAnsi="Arial"/>
                <w:sz w:val="16"/>
              </w:rPr>
              <w:t>0900</w:t>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top w:val="single" w:sz="4" w:space="0" w:color="00FFFF"/>
              <w:start w:val="single" w:sz="4" w:space="0" w:color="00FFFF"/>
              <w:bottom w:val="single" w:sz="4" w:space="0" w:color="00FFFF"/>
              <w:end w:val="single" w:sz="4" w:space="0" w:color="000000"/>
            </w:tcBorders>
          </w:tcPr>
          <w:p>
            <w:pPr>
              <w:pStyle w:val="Normal"/>
              <w:snapToGrid w:val="false"/>
              <w:jc w:val="both"/>
              <w:rPr>
                <w:rFonts w:ascii="Arial" w:hAnsi="Arial" w:cs="Arial"/>
                <w:sz w:val="16"/>
              </w:rPr>
            </w:pPr>
            <w:r>
              <w:rPr>
                <w:rFonts w:cs="Arial" w:ascii="Arial" w:hAnsi="Arial"/>
                <w:sz w:val="16"/>
              </w:rPr>
            </w:r>
          </w:p>
        </w:tc>
      </w:tr>
      <w:tr>
        <w:trPr/>
        <w:tc>
          <w:tcPr>
            <w:tcW w:w="1188" w:type="dxa"/>
            <w:tcBorders>
              <w:top w:val="single" w:sz="4" w:space="0" w:color="00FFFF"/>
              <w:start w:val="single" w:sz="4" w:space="0" w:color="000000"/>
              <w:bottom w:val="single" w:sz="4" w:space="0" w:color="00FFFF"/>
              <w:end w:val="single" w:sz="4" w:space="0" w:color="00FFFF"/>
            </w:tcBorders>
          </w:tcPr>
          <w:p>
            <w:pPr>
              <w:pStyle w:val="Normal"/>
              <w:jc w:val="both"/>
              <w:rPr>
                <w:rFonts w:ascii="Arial" w:hAnsi="Arial" w:cs="Arial"/>
                <w:sz w:val="16"/>
              </w:rPr>
            </w:pPr>
            <w:r>
              <w:rPr>
                <w:rFonts w:cs="Arial" w:ascii="Arial" w:hAnsi="Arial"/>
                <w:sz w:val="16"/>
              </w:rPr>
              <w:t>1000</w:t>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top w:val="single" w:sz="4" w:space="0" w:color="00FFFF"/>
              <w:start w:val="single" w:sz="4" w:space="0" w:color="00FFFF"/>
              <w:bottom w:val="single" w:sz="4" w:space="0" w:color="00FFFF"/>
              <w:end w:val="single" w:sz="4" w:space="0" w:color="000000"/>
            </w:tcBorders>
          </w:tcPr>
          <w:p>
            <w:pPr>
              <w:pStyle w:val="Normal"/>
              <w:snapToGrid w:val="false"/>
              <w:jc w:val="both"/>
              <w:rPr>
                <w:rFonts w:ascii="Arial" w:hAnsi="Arial" w:cs="Arial"/>
                <w:sz w:val="16"/>
              </w:rPr>
            </w:pPr>
            <w:r>
              <w:rPr>
                <w:rFonts w:cs="Arial" w:ascii="Arial" w:hAnsi="Arial"/>
                <w:sz w:val="16"/>
              </w:rPr>
            </w:r>
          </w:p>
        </w:tc>
      </w:tr>
      <w:tr>
        <w:trPr/>
        <w:tc>
          <w:tcPr>
            <w:tcW w:w="1188" w:type="dxa"/>
            <w:tcBorders>
              <w:top w:val="single" w:sz="4" w:space="0" w:color="00FFFF"/>
              <w:start w:val="single" w:sz="4" w:space="0" w:color="000000"/>
              <w:bottom w:val="single" w:sz="4" w:space="0" w:color="00FFFF"/>
              <w:end w:val="single" w:sz="4" w:space="0" w:color="00FFFF"/>
            </w:tcBorders>
          </w:tcPr>
          <w:p>
            <w:pPr>
              <w:pStyle w:val="Normal"/>
              <w:jc w:val="both"/>
              <w:rPr>
                <w:rFonts w:ascii="Arial" w:hAnsi="Arial" w:cs="Arial"/>
                <w:sz w:val="16"/>
              </w:rPr>
            </w:pPr>
            <w:r>
              <w:rPr>
                <w:rFonts w:cs="Arial" w:ascii="Arial" w:hAnsi="Arial"/>
                <w:sz w:val="16"/>
              </w:rPr>
              <w:t>1100</w:t>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top w:val="single" w:sz="4" w:space="0" w:color="00FFFF"/>
              <w:start w:val="single" w:sz="4" w:space="0" w:color="00FFFF"/>
              <w:bottom w:val="single" w:sz="4" w:space="0" w:color="00FFFF"/>
              <w:end w:val="single" w:sz="4" w:space="0" w:color="000000"/>
            </w:tcBorders>
          </w:tcPr>
          <w:p>
            <w:pPr>
              <w:pStyle w:val="Normal"/>
              <w:snapToGrid w:val="false"/>
              <w:jc w:val="both"/>
              <w:rPr>
                <w:rFonts w:ascii="Arial" w:hAnsi="Arial" w:cs="Arial"/>
                <w:sz w:val="16"/>
              </w:rPr>
            </w:pPr>
            <w:r>
              <w:rPr>
                <w:rFonts w:cs="Arial" w:ascii="Arial" w:hAnsi="Arial"/>
                <w:sz w:val="16"/>
              </w:rPr>
            </w:r>
          </w:p>
        </w:tc>
      </w:tr>
      <w:tr>
        <w:trPr/>
        <w:tc>
          <w:tcPr>
            <w:tcW w:w="1188" w:type="dxa"/>
            <w:tcBorders>
              <w:top w:val="single" w:sz="4" w:space="0" w:color="00FFFF"/>
              <w:start w:val="single" w:sz="4" w:space="0" w:color="000000"/>
              <w:bottom w:val="single" w:sz="4" w:space="0" w:color="00FFFF"/>
              <w:end w:val="single" w:sz="4" w:space="0" w:color="00FFFF"/>
            </w:tcBorders>
          </w:tcPr>
          <w:p>
            <w:pPr>
              <w:pStyle w:val="Normal"/>
              <w:jc w:val="both"/>
              <w:rPr>
                <w:rFonts w:ascii="Arial" w:hAnsi="Arial" w:cs="Arial"/>
                <w:sz w:val="16"/>
              </w:rPr>
            </w:pPr>
            <w:r>
              <w:rPr>
                <w:rFonts w:cs="Arial" w:ascii="Arial" w:hAnsi="Arial"/>
                <w:sz w:val="16"/>
              </w:rPr>
              <w:t>1200</w:t>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top w:val="single" w:sz="4" w:space="0" w:color="00FFFF"/>
              <w:start w:val="single" w:sz="4" w:space="0" w:color="00FFFF"/>
              <w:bottom w:val="single" w:sz="4" w:space="0" w:color="00FFFF"/>
              <w:end w:val="single" w:sz="4" w:space="0" w:color="000000"/>
            </w:tcBorders>
          </w:tcPr>
          <w:p>
            <w:pPr>
              <w:pStyle w:val="Normal"/>
              <w:snapToGrid w:val="false"/>
              <w:jc w:val="both"/>
              <w:rPr>
                <w:rFonts w:ascii="Arial" w:hAnsi="Arial" w:cs="Arial"/>
                <w:sz w:val="16"/>
              </w:rPr>
            </w:pPr>
            <w:r>
              <w:rPr>
                <w:rFonts w:cs="Arial" w:ascii="Arial" w:hAnsi="Arial"/>
                <w:sz w:val="16"/>
              </w:rPr>
            </w:r>
          </w:p>
        </w:tc>
      </w:tr>
      <w:tr>
        <w:trPr/>
        <w:tc>
          <w:tcPr>
            <w:tcW w:w="1188" w:type="dxa"/>
            <w:tcBorders>
              <w:top w:val="single" w:sz="4" w:space="0" w:color="00FFFF"/>
              <w:start w:val="single" w:sz="4" w:space="0" w:color="000000"/>
              <w:bottom w:val="single" w:sz="4" w:space="0" w:color="00FFFF"/>
              <w:end w:val="single" w:sz="4" w:space="0" w:color="00FFFF"/>
            </w:tcBorders>
          </w:tcPr>
          <w:p>
            <w:pPr>
              <w:pStyle w:val="Normal"/>
              <w:jc w:val="both"/>
              <w:rPr>
                <w:rFonts w:ascii="Arial" w:hAnsi="Arial" w:cs="Arial"/>
                <w:sz w:val="16"/>
              </w:rPr>
            </w:pPr>
            <w:r>
              <w:rPr>
                <w:rFonts w:cs="Arial" w:ascii="Arial" w:hAnsi="Arial"/>
                <w:sz w:val="16"/>
              </w:rPr>
              <w:t>1300</w:t>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top w:val="single" w:sz="4" w:space="0" w:color="00FFFF"/>
              <w:start w:val="single" w:sz="4" w:space="0" w:color="00FFFF"/>
              <w:bottom w:val="single" w:sz="4" w:space="0" w:color="00FFFF"/>
              <w:end w:val="single" w:sz="4" w:space="0" w:color="000000"/>
            </w:tcBorders>
          </w:tcPr>
          <w:p>
            <w:pPr>
              <w:pStyle w:val="Normal"/>
              <w:snapToGrid w:val="false"/>
              <w:jc w:val="both"/>
              <w:rPr>
                <w:rFonts w:ascii="Arial" w:hAnsi="Arial" w:cs="Arial"/>
                <w:sz w:val="16"/>
              </w:rPr>
            </w:pPr>
            <w:r>
              <w:rPr>
                <w:rFonts w:cs="Arial" w:ascii="Arial" w:hAnsi="Arial"/>
                <w:sz w:val="16"/>
              </w:rPr>
            </w:r>
          </w:p>
        </w:tc>
      </w:tr>
      <w:tr>
        <w:trPr/>
        <w:tc>
          <w:tcPr>
            <w:tcW w:w="1188" w:type="dxa"/>
            <w:tcBorders>
              <w:top w:val="single" w:sz="4" w:space="0" w:color="00FFFF"/>
              <w:start w:val="single" w:sz="4" w:space="0" w:color="000000"/>
              <w:bottom w:val="single" w:sz="4" w:space="0" w:color="00FFFF"/>
              <w:end w:val="single" w:sz="4" w:space="0" w:color="00FFFF"/>
            </w:tcBorders>
          </w:tcPr>
          <w:p>
            <w:pPr>
              <w:pStyle w:val="Normal"/>
              <w:jc w:val="both"/>
              <w:rPr>
                <w:rFonts w:ascii="Arial" w:hAnsi="Arial" w:cs="Arial"/>
                <w:sz w:val="16"/>
              </w:rPr>
            </w:pPr>
            <w:r>
              <w:rPr>
                <w:rFonts w:cs="Arial" w:ascii="Arial" w:hAnsi="Arial"/>
                <w:sz w:val="16"/>
              </w:rPr>
              <w:t>1400</w:t>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top w:val="single" w:sz="4" w:space="0" w:color="00FFFF"/>
              <w:start w:val="single" w:sz="4" w:space="0" w:color="00FFFF"/>
              <w:bottom w:val="single" w:sz="4" w:space="0" w:color="00FFFF"/>
              <w:end w:val="single" w:sz="4" w:space="0" w:color="000000"/>
            </w:tcBorders>
          </w:tcPr>
          <w:p>
            <w:pPr>
              <w:pStyle w:val="Normal"/>
              <w:snapToGrid w:val="false"/>
              <w:jc w:val="both"/>
              <w:rPr>
                <w:rFonts w:ascii="Arial" w:hAnsi="Arial" w:cs="Arial"/>
                <w:sz w:val="16"/>
              </w:rPr>
            </w:pPr>
            <w:r>
              <w:rPr>
                <w:rFonts w:cs="Arial" w:ascii="Arial" w:hAnsi="Arial"/>
                <w:sz w:val="16"/>
              </w:rPr>
            </w:r>
          </w:p>
        </w:tc>
      </w:tr>
      <w:tr>
        <w:trPr/>
        <w:tc>
          <w:tcPr>
            <w:tcW w:w="1188" w:type="dxa"/>
            <w:tcBorders>
              <w:top w:val="single" w:sz="4" w:space="0" w:color="00FFFF"/>
              <w:start w:val="single" w:sz="4" w:space="0" w:color="000000"/>
              <w:bottom w:val="single" w:sz="4" w:space="0" w:color="00FFFF"/>
              <w:end w:val="single" w:sz="4" w:space="0" w:color="00FFFF"/>
            </w:tcBorders>
          </w:tcPr>
          <w:p>
            <w:pPr>
              <w:pStyle w:val="Normal"/>
              <w:jc w:val="both"/>
              <w:rPr>
                <w:rFonts w:ascii="Arial" w:hAnsi="Arial" w:cs="Arial"/>
                <w:sz w:val="16"/>
              </w:rPr>
            </w:pPr>
            <w:r>
              <w:rPr>
                <w:rFonts w:cs="Arial" w:ascii="Arial" w:hAnsi="Arial"/>
                <w:sz w:val="16"/>
              </w:rPr>
              <w:t>1500</w:t>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top w:val="single" w:sz="4" w:space="0" w:color="00FFFF"/>
              <w:start w:val="single" w:sz="4" w:space="0" w:color="00FFFF"/>
              <w:bottom w:val="single" w:sz="4" w:space="0" w:color="00FFFF"/>
              <w:end w:val="single" w:sz="4" w:space="0" w:color="000000"/>
            </w:tcBorders>
          </w:tcPr>
          <w:p>
            <w:pPr>
              <w:pStyle w:val="Normal"/>
              <w:snapToGrid w:val="false"/>
              <w:jc w:val="both"/>
              <w:rPr>
                <w:rFonts w:ascii="Arial" w:hAnsi="Arial" w:cs="Arial"/>
                <w:sz w:val="16"/>
              </w:rPr>
            </w:pPr>
            <w:r>
              <w:rPr>
                <w:rFonts w:cs="Arial" w:ascii="Arial" w:hAnsi="Arial"/>
                <w:sz w:val="16"/>
              </w:rPr>
            </w:r>
          </w:p>
        </w:tc>
      </w:tr>
      <w:tr>
        <w:trPr/>
        <w:tc>
          <w:tcPr>
            <w:tcW w:w="1188" w:type="dxa"/>
            <w:tcBorders>
              <w:top w:val="single" w:sz="4" w:space="0" w:color="00FFFF"/>
              <w:start w:val="single" w:sz="4" w:space="0" w:color="000000"/>
              <w:bottom w:val="single" w:sz="4" w:space="0" w:color="00FFFF"/>
              <w:end w:val="single" w:sz="4" w:space="0" w:color="00FFFF"/>
            </w:tcBorders>
          </w:tcPr>
          <w:p>
            <w:pPr>
              <w:pStyle w:val="Normal"/>
              <w:jc w:val="both"/>
              <w:rPr>
                <w:rFonts w:ascii="Arial" w:hAnsi="Arial" w:cs="Arial"/>
                <w:sz w:val="16"/>
              </w:rPr>
            </w:pPr>
            <w:r>
              <w:rPr>
                <w:rFonts w:cs="Arial" w:ascii="Arial" w:hAnsi="Arial"/>
                <w:sz w:val="16"/>
              </w:rPr>
              <w:t>1600</w:t>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top w:val="single" w:sz="4" w:space="0" w:color="00FFFF"/>
              <w:start w:val="single" w:sz="4" w:space="0" w:color="00FFFF"/>
              <w:bottom w:val="single" w:sz="4" w:space="0" w:color="00FFFF"/>
              <w:end w:val="single" w:sz="4" w:space="0" w:color="000000"/>
            </w:tcBorders>
          </w:tcPr>
          <w:p>
            <w:pPr>
              <w:pStyle w:val="Normal"/>
              <w:snapToGrid w:val="false"/>
              <w:jc w:val="both"/>
              <w:rPr>
                <w:rFonts w:ascii="Arial" w:hAnsi="Arial" w:cs="Arial"/>
                <w:sz w:val="16"/>
              </w:rPr>
            </w:pPr>
            <w:r>
              <w:rPr>
                <w:rFonts w:cs="Arial" w:ascii="Arial" w:hAnsi="Arial"/>
                <w:sz w:val="16"/>
              </w:rPr>
            </w:r>
          </w:p>
        </w:tc>
      </w:tr>
      <w:tr>
        <w:trPr/>
        <w:tc>
          <w:tcPr>
            <w:tcW w:w="1188" w:type="dxa"/>
            <w:tcBorders>
              <w:top w:val="single" w:sz="4" w:space="0" w:color="00FFFF"/>
              <w:start w:val="single" w:sz="4" w:space="0" w:color="000000"/>
              <w:bottom w:val="single" w:sz="4" w:space="0" w:color="00FFFF"/>
              <w:end w:val="single" w:sz="4" w:space="0" w:color="00FFFF"/>
            </w:tcBorders>
          </w:tcPr>
          <w:p>
            <w:pPr>
              <w:pStyle w:val="Normal"/>
              <w:jc w:val="both"/>
              <w:rPr>
                <w:rFonts w:ascii="Arial" w:hAnsi="Arial" w:cs="Arial"/>
                <w:sz w:val="16"/>
              </w:rPr>
            </w:pPr>
            <w:r>
              <w:rPr>
                <w:rFonts w:cs="Arial" w:ascii="Arial" w:hAnsi="Arial"/>
                <w:sz w:val="16"/>
              </w:rPr>
              <w:t>1700</w:t>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top w:val="single" w:sz="4" w:space="0" w:color="00FFFF"/>
              <w:start w:val="single" w:sz="4" w:space="0" w:color="00FFFF"/>
              <w:bottom w:val="single" w:sz="4" w:space="0" w:color="00FFFF"/>
              <w:end w:val="single" w:sz="4" w:space="0" w:color="000000"/>
            </w:tcBorders>
          </w:tcPr>
          <w:p>
            <w:pPr>
              <w:pStyle w:val="Normal"/>
              <w:snapToGrid w:val="false"/>
              <w:jc w:val="both"/>
              <w:rPr>
                <w:rFonts w:ascii="Arial" w:hAnsi="Arial" w:cs="Arial"/>
                <w:sz w:val="16"/>
              </w:rPr>
            </w:pPr>
            <w:r>
              <w:rPr>
                <w:rFonts w:cs="Arial" w:ascii="Arial" w:hAnsi="Arial"/>
                <w:sz w:val="16"/>
              </w:rPr>
            </w:r>
          </w:p>
        </w:tc>
      </w:tr>
      <w:tr>
        <w:trPr/>
        <w:tc>
          <w:tcPr>
            <w:tcW w:w="1188" w:type="dxa"/>
            <w:tcBorders>
              <w:top w:val="single" w:sz="4" w:space="0" w:color="00FFFF"/>
              <w:start w:val="single" w:sz="4" w:space="0" w:color="000000"/>
              <w:bottom w:val="single" w:sz="4" w:space="0" w:color="00FFFF"/>
              <w:end w:val="single" w:sz="4" w:space="0" w:color="00FFFF"/>
            </w:tcBorders>
          </w:tcPr>
          <w:p>
            <w:pPr>
              <w:pStyle w:val="Normal"/>
              <w:jc w:val="both"/>
              <w:rPr>
                <w:rFonts w:ascii="Arial" w:hAnsi="Arial" w:cs="Arial"/>
                <w:sz w:val="16"/>
              </w:rPr>
            </w:pPr>
            <w:r>
              <w:rPr>
                <w:rFonts w:cs="Arial" w:ascii="Arial" w:hAnsi="Arial"/>
                <w:sz w:val="16"/>
              </w:rPr>
              <w:t>1800</w:t>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top w:val="single" w:sz="4" w:space="0" w:color="00FFFF"/>
              <w:start w:val="single" w:sz="4" w:space="0" w:color="00FFFF"/>
              <w:bottom w:val="single" w:sz="4" w:space="0" w:color="00FFFF"/>
              <w:end w:val="single" w:sz="4" w:space="0" w:color="000000"/>
            </w:tcBorders>
          </w:tcPr>
          <w:p>
            <w:pPr>
              <w:pStyle w:val="Normal"/>
              <w:snapToGrid w:val="false"/>
              <w:jc w:val="both"/>
              <w:rPr>
                <w:rFonts w:ascii="Arial" w:hAnsi="Arial" w:cs="Arial"/>
                <w:sz w:val="16"/>
              </w:rPr>
            </w:pPr>
            <w:r>
              <w:rPr>
                <w:rFonts w:cs="Arial" w:ascii="Arial" w:hAnsi="Arial"/>
                <w:sz w:val="16"/>
              </w:rPr>
            </w:r>
          </w:p>
        </w:tc>
      </w:tr>
      <w:tr>
        <w:trPr/>
        <w:tc>
          <w:tcPr>
            <w:tcW w:w="1188" w:type="dxa"/>
            <w:tcBorders>
              <w:top w:val="single" w:sz="4" w:space="0" w:color="00FFFF"/>
              <w:start w:val="single" w:sz="4" w:space="0" w:color="000000"/>
              <w:bottom w:val="single" w:sz="4" w:space="0" w:color="00FFFF"/>
              <w:end w:val="single" w:sz="4" w:space="0" w:color="00FFFF"/>
            </w:tcBorders>
          </w:tcPr>
          <w:p>
            <w:pPr>
              <w:pStyle w:val="Normal"/>
              <w:jc w:val="both"/>
              <w:rPr>
                <w:rFonts w:ascii="Arial" w:hAnsi="Arial" w:cs="Arial"/>
                <w:sz w:val="16"/>
              </w:rPr>
            </w:pPr>
            <w:r>
              <w:rPr>
                <w:rFonts w:cs="Arial" w:ascii="Arial" w:hAnsi="Arial"/>
                <w:sz w:val="16"/>
              </w:rPr>
              <w:t>1900</w:t>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top w:val="single" w:sz="4" w:space="0" w:color="00FFFF"/>
              <w:start w:val="single" w:sz="4" w:space="0" w:color="00FFFF"/>
              <w:bottom w:val="single" w:sz="4" w:space="0" w:color="00FFFF"/>
              <w:end w:val="single" w:sz="4" w:space="0" w:color="000000"/>
            </w:tcBorders>
          </w:tcPr>
          <w:p>
            <w:pPr>
              <w:pStyle w:val="Normal"/>
              <w:snapToGrid w:val="false"/>
              <w:jc w:val="both"/>
              <w:rPr>
                <w:rFonts w:ascii="Arial" w:hAnsi="Arial" w:cs="Arial"/>
                <w:sz w:val="16"/>
              </w:rPr>
            </w:pPr>
            <w:r>
              <w:rPr>
                <w:rFonts w:cs="Arial" w:ascii="Arial" w:hAnsi="Arial"/>
                <w:sz w:val="16"/>
              </w:rPr>
            </w:r>
          </w:p>
        </w:tc>
      </w:tr>
      <w:tr>
        <w:trPr/>
        <w:tc>
          <w:tcPr>
            <w:tcW w:w="1188" w:type="dxa"/>
            <w:tcBorders>
              <w:top w:val="single" w:sz="4" w:space="0" w:color="00FFFF"/>
              <w:start w:val="single" w:sz="4" w:space="0" w:color="000000"/>
              <w:bottom w:val="single" w:sz="4" w:space="0" w:color="00FFFF"/>
              <w:end w:val="single" w:sz="4" w:space="0" w:color="00FFFF"/>
            </w:tcBorders>
          </w:tcPr>
          <w:p>
            <w:pPr>
              <w:pStyle w:val="Normal"/>
              <w:jc w:val="both"/>
              <w:rPr>
                <w:rFonts w:ascii="Arial" w:hAnsi="Arial" w:cs="Arial"/>
                <w:sz w:val="16"/>
              </w:rPr>
            </w:pPr>
            <w:r>
              <w:rPr>
                <w:rFonts w:cs="Arial" w:ascii="Arial" w:hAnsi="Arial"/>
                <w:sz w:val="16"/>
              </w:rPr>
              <w:t>2000</w:t>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top w:val="single" w:sz="4" w:space="0" w:color="00FFFF"/>
              <w:start w:val="single" w:sz="4" w:space="0" w:color="00FFFF"/>
              <w:bottom w:val="single" w:sz="4" w:space="0" w:color="00FFFF"/>
              <w:end w:val="single" w:sz="4" w:space="0" w:color="000000"/>
            </w:tcBorders>
          </w:tcPr>
          <w:p>
            <w:pPr>
              <w:pStyle w:val="Normal"/>
              <w:snapToGrid w:val="false"/>
              <w:jc w:val="both"/>
              <w:rPr>
                <w:rFonts w:ascii="Arial" w:hAnsi="Arial" w:cs="Arial"/>
                <w:sz w:val="16"/>
              </w:rPr>
            </w:pPr>
            <w:r>
              <w:rPr>
                <w:rFonts w:cs="Arial" w:ascii="Arial" w:hAnsi="Arial"/>
                <w:sz w:val="16"/>
              </w:rPr>
            </w:r>
          </w:p>
        </w:tc>
      </w:tr>
      <w:tr>
        <w:trPr/>
        <w:tc>
          <w:tcPr>
            <w:tcW w:w="1188" w:type="dxa"/>
            <w:tcBorders>
              <w:top w:val="single" w:sz="4" w:space="0" w:color="00FFFF"/>
              <w:start w:val="single" w:sz="4" w:space="0" w:color="000000"/>
              <w:bottom w:val="single" w:sz="4" w:space="0" w:color="00FFFF"/>
              <w:end w:val="single" w:sz="4" w:space="0" w:color="00FFFF"/>
            </w:tcBorders>
          </w:tcPr>
          <w:p>
            <w:pPr>
              <w:pStyle w:val="Normal"/>
              <w:jc w:val="both"/>
              <w:rPr>
                <w:rFonts w:ascii="Arial" w:hAnsi="Arial" w:cs="Arial"/>
                <w:sz w:val="16"/>
              </w:rPr>
            </w:pPr>
            <w:r>
              <w:rPr>
                <w:rFonts w:cs="Arial" w:ascii="Arial" w:hAnsi="Arial"/>
                <w:sz w:val="16"/>
              </w:rPr>
              <w:t>2100</w:t>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top w:val="single" w:sz="4" w:space="0" w:color="00FFFF"/>
              <w:start w:val="single" w:sz="4" w:space="0" w:color="00FFFF"/>
              <w:bottom w:val="single" w:sz="4" w:space="0" w:color="00FFFF"/>
              <w:end w:val="single" w:sz="4" w:space="0" w:color="000000"/>
            </w:tcBorders>
          </w:tcPr>
          <w:p>
            <w:pPr>
              <w:pStyle w:val="Normal"/>
              <w:snapToGrid w:val="false"/>
              <w:jc w:val="both"/>
              <w:rPr>
                <w:rFonts w:ascii="Arial" w:hAnsi="Arial" w:cs="Arial"/>
                <w:sz w:val="16"/>
              </w:rPr>
            </w:pPr>
            <w:r>
              <w:rPr>
                <w:rFonts w:cs="Arial" w:ascii="Arial" w:hAnsi="Arial"/>
                <w:sz w:val="16"/>
              </w:rPr>
            </w:r>
          </w:p>
        </w:tc>
      </w:tr>
      <w:tr>
        <w:trPr/>
        <w:tc>
          <w:tcPr>
            <w:tcW w:w="1188" w:type="dxa"/>
            <w:tcBorders>
              <w:top w:val="single" w:sz="4" w:space="0" w:color="00FFFF"/>
              <w:start w:val="single" w:sz="4" w:space="0" w:color="000000"/>
              <w:bottom w:val="single" w:sz="4" w:space="0" w:color="00FFFF"/>
              <w:end w:val="single" w:sz="4" w:space="0" w:color="00FFFF"/>
            </w:tcBorders>
          </w:tcPr>
          <w:p>
            <w:pPr>
              <w:pStyle w:val="Normal"/>
              <w:jc w:val="both"/>
              <w:rPr>
                <w:rFonts w:ascii="Arial" w:hAnsi="Arial" w:cs="Arial"/>
                <w:sz w:val="16"/>
              </w:rPr>
            </w:pPr>
            <w:r>
              <w:rPr>
                <w:rFonts w:cs="Arial" w:ascii="Arial" w:hAnsi="Arial"/>
                <w:sz w:val="16"/>
              </w:rPr>
              <w:t>2200</w:t>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top w:val="single" w:sz="4" w:space="0" w:color="00FFFF"/>
              <w:start w:val="single" w:sz="4" w:space="0" w:color="00FFFF"/>
              <w:bottom w:val="single" w:sz="4" w:space="0" w:color="00FFFF"/>
              <w:end w:val="single" w:sz="4" w:space="0" w:color="000000"/>
            </w:tcBorders>
          </w:tcPr>
          <w:p>
            <w:pPr>
              <w:pStyle w:val="Normal"/>
              <w:snapToGrid w:val="false"/>
              <w:jc w:val="both"/>
              <w:rPr>
                <w:rFonts w:ascii="Arial" w:hAnsi="Arial" w:cs="Arial"/>
                <w:sz w:val="16"/>
              </w:rPr>
            </w:pPr>
            <w:r>
              <w:rPr>
                <w:rFonts w:cs="Arial" w:ascii="Arial" w:hAnsi="Arial"/>
                <w:sz w:val="16"/>
              </w:rPr>
            </w:r>
          </w:p>
        </w:tc>
      </w:tr>
      <w:tr>
        <w:trPr/>
        <w:tc>
          <w:tcPr>
            <w:tcW w:w="1188" w:type="dxa"/>
            <w:tcBorders>
              <w:top w:val="single" w:sz="4" w:space="0" w:color="00FFFF"/>
              <w:start w:val="single" w:sz="4" w:space="0" w:color="000000"/>
              <w:bottom w:val="single" w:sz="4" w:space="0" w:color="00FFFF"/>
              <w:end w:val="single" w:sz="4" w:space="0" w:color="00FFFF"/>
            </w:tcBorders>
          </w:tcPr>
          <w:p>
            <w:pPr>
              <w:pStyle w:val="Normal"/>
              <w:jc w:val="both"/>
              <w:rPr>
                <w:rFonts w:ascii="Arial" w:hAnsi="Arial" w:cs="Arial"/>
                <w:sz w:val="16"/>
              </w:rPr>
            </w:pPr>
            <w:r>
              <w:rPr>
                <w:rFonts w:cs="Arial" w:ascii="Arial" w:hAnsi="Arial"/>
                <w:sz w:val="16"/>
              </w:rPr>
              <w:t>2300</w:t>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top w:val="single" w:sz="4" w:space="0" w:color="00FFFF"/>
              <w:start w:val="single" w:sz="4" w:space="0" w:color="00FFFF"/>
              <w:bottom w:val="single" w:sz="4" w:space="0" w:color="00FFFF"/>
              <w:end w:val="single" w:sz="4" w:space="0" w:color="000000"/>
            </w:tcBorders>
          </w:tcPr>
          <w:p>
            <w:pPr>
              <w:pStyle w:val="Normal"/>
              <w:snapToGrid w:val="false"/>
              <w:jc w:val="both"/>
              <w:rPr>
                <w:rFonts w:ascii="Arial" w:hAnsi="Arial" w:cs="Arial"/>
                <w:sz w:val="16"/>
              </w:rPr>
            </w:pPr>
            <w:r>
              <w:rPr>
                <w:rFonts w:cs="Arial" w:ascii="Arial" w:hAnsi="Arial"/>
                <w:sz w:val="16"/>
              </w:rPr>
            </w:r>
          </w:p>
        </w:tc>
      </w:tr>
      <w:tr>
        <w:trPr/>
        <w:tc>
          <w:tcPr>
            <w:tcW w:w="1188" w:type="dxa"/>
            <w:tcBorders>
              <w:top w:val="single" w:sz="4" w:space="0" w:color="00FFFF"/>
              <w:start w:val="single" w:sz="4" w:space="0" w:color="000000"/>
              <w:bottom w:val="single" w:sz="4" w:space="0" w:color="00FFFF"/>
              <w:end w:val="single" w:sz="4" w:space="0" w:color="00FFFF"/>
            </w:tcBorders>
          </w:tcPr>
          <w:p>
            <w:pPr>
              <w:pStyle w:val="Normal"/>
              <w:jc w:val="both"/>
              <w:rPr>
                <w:rFonts w:ascii="Arial" w:hAnsi="Arial" w:cs="Arial"/>
                <w:sz w:val="16"/>
              </w:rPr>
            </w:pPr>
            <w:r>
              <w:rPr>
                <w:rFonts w:cs="Arial" w:ascii="Arial" w:hAnsi="Arial"/>
                <w:sz w:val="16"/>
              </w:rPr>
              <w:t>2400</w:t>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FFFF"/>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top w:val="single" w:sz="4" w:space="0" w:color="00FFFF"/>
              <w:start w:val="single" w:sz="4" w:space="0" w:color="00FFFF"/>
              <w:bottom w:val="single" w:sz="4" w:space="0" w:color="00FFFF"/>
              <w:end w:val="single" w:sz="4" w:space="0" w:color="000000"/>
            </w:tcBorders>
          </w:tcPr>
          <w:p>
            <w:pPr>
              <w:pStyle w:val="Normal"/>
              <w:snapToGrid w:val="false"/>
              <w:jc w:val="both"/>
              <w:rPr>
                <w:rFonts w:ascii="Arial" w:hAnsi="Arial" w:cs="Arial"/>
                <w:sz w:val="16"/>
              </w:rPr>
            </w:pPr>
            <w:r>
              <w:rPr>
                <w:rFonts w:cs="Arial" w:ascii="Arial" w:hAnsi="Arial"/>
                <w:sz w:val="16"/>
              </w:rPr>
            </w:r>
          </w:p>
        </w:tc>
      </w:tr>
      <w:tr>
        <w:trPr/>
        <w:tc>
          <w:tcPr>
            <w:tcW w:w="1188" w:type="dxa"/>
            <w:tcBorders>
              <w:top w:val="single" w:sz="4" w:space="0" w:color="00FFFF"/>
              <w:start w:val="single" w:sz="4" w:space="0" w:color="000000"/>
              <w:bottom w:val="single" w:sz="4" w:space="0" w:color="000000"/>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0000"/>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0000"/>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0000"/>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710" w:type="dxa"/>
            <w:tcBorders>
              <w:top w:val="single" w:sz="4" w:space="0" w:color="00FFFF"/>
              <w:start w:val="single" w:sz="4" w:space="0" w:color="00FFFF"/>
              <w:bottom w:val="single" w:sz="4" w:space="0" w:color="000000"/>
              <w:end w:val="single" w:sz="4" w:space="0" w:color="00FFFF"/>
            </w:tcBorders>
          </w:tcPr>
          <w:p>
            <w:pPr>
              <w:pStyle w:val="Normal"/>
              <w:snapToGrid w:val="false"/>
              <w:jc w:val="both"/>
              <w:rPr>
                <w:rFonts w:ascii="Arial" w:hAnsi="Arial" w:cs="Arial"/>
                <w:sz w:val="16"/>
              </w:rPr>
            </w:pPr>
            <w:r>
              <w:rPr>
                <w:rFonts w:cs="Arial" w:ascii="Arial" w:hAnsi="Arial"/>
                <w:sz w:val="16"/>
              </w:rPr>
            </w:r>
          </w:p>
        </w:tc>
        <w:tc>
          <w:tcPr>
            <w:tcW w:w="1530" w:type="dxa"/>
            <w:tcBorders>
              <w:top w:val="single" w:sz="4" w:space="0" w:color="00FFFF"/>
              <w:start w:val="single" w:sz="4" w:space="0" w:color="00FFFF"/>
              <w:bottom w:val="single" w:sz="4" w:space="0" w:color="000000"/>
              <w:end w:val="single" w:sz="4" w:space="0" w:color="000000"/>
            </w:tcBorders>
          </w:tcPr>
          <w:p>
            <w:pPr>
              <w:pStyle w:val="Normal"/>
              <w:snapToGrid w:val="false"/>
              <w:jc w:val="both"/>
              <w:rPr>
                <w:rFonts w:ascii="Arial" w:hAnsi="Arial" w:cs="Arial"/>
                <w:sz w:val="16"/>
              </w:rPr>
            </w:pPr>
            <w:r>
              <w:rPr>
                <w:rFonts w:cs="Arial" w:ascii="Arial" w:hAnsi="Arial"/>
                <w:sz w:val="16"/>
              </w:rPr>
            </w:r>
          </w:p>
        </w:tc>
      </w:tr>
    </w:tbl>
    <w:p>
      <w:pPr>
        <w:pStyle w:val="Normal"/>
        <w:jc w:val="center"/>
        <w:rPr>
          <w:sz w:val="24"/>
        </w:rPr>
      </w:pPr>
      <w:r>
        <w:rPr>
          <w:sz w:val="24"/>
        </w:rPr>
      </w:r>
    </w:p>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/mnt/main-storage/datasets/enron-docs/doc/Brownsvilletolling_1.doc</w:t>
    </w:r>
    <w:r>
      <w:rPr>
        <w:sz w:val="16"/>
        <w:lang w:eastAsia="en-US"/>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LEGAL/KERWIN/CONTRACTS99/TOLLING 3.DOC</w:t>
    </w:r>
    <w:r>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LEGAL/KERWIN/CONTRACTS99/TOLLING 3.DOC</w:t>
    </w:r>
    <w:r>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center"/>
      <w:outlineLvl w:val="4"/>
    </w:pPr>
    <w:rPr>
      <w:rFonts w:ascii="Arial" w:hAnsi="Arial" w:cs="Arial"/>
      <w:b/>
      <w:sz w:val="16"/>
    </w:rPr>
  </w:style>
  <w:style w:type="paragraph" w:styleId="Heading6">
    <w:name w:val="heading 6"/>
    <w:basedOn w:val="Normal"/>
    <w:next w:val="BodyText"/>
    <w:qFormat/>
    <w:pPr>
      <w:numPr>
        <w:ilvl w:val="5"/>
        <w:numId w:val="1"/>
      </w:numPr>
      <w:spacing w:before="0" w:after="120"/>
      <w:ind w:hanging="0" w:start="1440" w:end="720"/>
      <w:outlineLvl w:val="5"/>
    </w:pPr>
    <w:rPr/>
  </w:style>
  <w:style w:type="paragraph" w:styleId="Heading7">
    <w:name w:val="heading 7"/>
    <w:basedOn w:val="Normal"/>
    <w:next w:val="BodyText"/>
    <w:qFormat/>
    <w:pPr>
      <w:numPr>
        <w:ilvl w:val="6"/>
        <w:numId w:val="1"/>
      </w:numPr>
      <w:spacing w:before="0" w:after="120"/>
      <w:ind w:hanging="720" w:start="2880" w:end="720"/>
      <w:outlineLvl w:val="6"/>
    </w:pPr>
    <w:rPr/>
  </w:style>
  <w:style w:type="paragraph" w:styleId="Heading8">
    <w:name w:val="heading 8"/>
    <w:basedOn w:val="Normal"/>
    <w:next w:val="Normal"/>
    <w:qFormat/>
    <w:pPr>
      <w:keepNext w:val="true"/>
      <w:numPr>
        <w:ilvl w:val="7"/>
        <w:numId w:val="1"/>
      </w:numPr>
      <w:tabs>
        <w:tab w:val="clear" w:pos="720"/>
        <w:tab w:val="left" w:pos="9180" w:leader="none"/>
        <w:tab w:val="right" w:pos="9360" w:leader="none"/>
      </w:tabs>
      <w:spacing w:before="120" w:after="0"/>
      <w:ind w:hanging="0" w:start="4320" w:end="0"/>
      <w:jc w:val="both"/>
      <w:outlineLvl w:val="7"/>
    </w:pPr>
    <w:rPr>
      <w:b/>
      <w:sz w:val="24"/>
    </w:rPr>
  </w:style>
  <w:style w:type="paragraph" w:styleId="Heading9">
    <w:name w:val="heading 9"/>
    <w:basedOn w:val="Normal"/>
    <w:next w:val="Normal"/>
    <w:qFormat/>
    <w:pPr>
      <w:keepNext w:val="true"/>
      <w:numPr>
        <w:ilvl w:val="8"/>
        <w:numId w:val="1"/>
      </w:numPr>
      <w:jc w:val="center"/>
      <w:outlineLvl w:val="8"/>
    </w:pPr>
    <w:rPr>
      <w:b/>
      <w:sz w:val="24"/>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tabs>
        <w:tab w:val="clear" w:pos="720"/>
        <w:tab w:val="left" w:pos="8280" w:leader="dot"/>
        <w:tab w:val="right" w:pos="8640" w:leader="none"/>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CG Times (WN)" w:hAnsi="CG Times (WN)" w:eastAsia="Times New Roman" w:cs="CG Times (WN)"/>
      <w:color w:val="auto"/>
      <w:sz w:val="20"/>
      <w:szCs w:val="20"/>
      <w:lang w:val="en-US" w:eastAsia="zh-CN" w:bidi="hi-IN"/>
    </w:rPr>
  </w:style>
  <w:style w:type="paragraph" w:styleId="section">
    <w:name w:val="section"/>
    <w:qFormat/>
    <w:pPr>
      <w:widowControl/>
      <w:bidi w:val="0"/>
    </w:pPr>
    <w:rPr>
      <w:rFonts w:ascii="CG Times (WN)" w:hAnsi="CG Times (WN)" w:eastAsia="Times New Roman" w:cs="CG Times (WN)"/>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1999-05-24T17:19:00Z</dcterms:created>
  <dc:creator>ECT</dc:creator>
  <dc:description>11/30/94</dc:description>
  <cp:keywords>Enabling Agreement</cp:keywords>
  <dc:language>en-CA</dc:language>
  <cp:lastModifiedBy>Brenda Whitehead</cp:lastModifiedBy>
  <cp:lastPrinted>1999-06-02T08:56:00Z</cp:lastPrinted>
  <dcterms:modified xsi:type="dcterms:W3CDTF">1999-06-02T11:28:00Z</dcterms:modified>
  <cp:revision>8</cp:revision>
  <dc:subject>FORM</dc:subject>
  <dc:title>Enabling Agreement (Bilateral)</dc:title>
</cp:coreProperties>
</file>