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pLabel"/>
        <w:jc w:val="center"/>
        <w:rPr/>
      </w:pPr>
      <w:r>
        <w:rPr/>
        <w:t>Broward County Moratorium Analysis</w:t>
      </w:r>
    </w:p>
    <w:p>
      <w:pPr>
        <w:pStyle w:val="Outline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w:t>
      </w:r>
      <w:r>
        <w:rPr>
          <w:lang w:val="en-CA" w:eastAsia="en-CA"/>
        </w:rPr>
      </w:r>
      <w:r>
        <w:rPr>
          <w:lang w:val="en-CA" w:eastAsia="en-CA"/>
        </w:rPr>
        <w:fldChar w:fldCharType="end"/>
      </w:r>
      <w:r>
        <w:rPr/>
        <w:t xml:space="preserve">. </w:t>
        <w:tab/>
        <w:t>Broward County does not have the authority to require air permits and more particularly air permits for electrical power plants.  Therefore, a moratorium on the issuance of such permits is meaningless.</w:t>
      </w:r>
    </w:p>
    <w:p>
      <w:pPr>
        <w:pStyle w:val="Heading2"/>
        <w:ind w:hanging="0" w:start="0"/>
        <w:rPr/>
      </w:pPr>
      <w:r>
        <w:rPr/>
        <w:t>Broward County no longer has special act authority, having cut itself off from its prior special act authority by the passage of special act Chapter 77-516, Laws of Florida, the 1990 Charter Amendment and adopting County Ordinance 2000-10.</w:t>
      </w:r>
    </w:p>
    <w:p>
      <w:pPr>
        <w:pStyle w:val="Heading3"/>
        <w:ind w:hanging="0" w:start="0"/>
        <w:rPr/>
      </w:pPr>
      <w:r>
        <w:rPr/>
        <w:t>Chapter 77-516, Laws of Florida repealed all prior special acts granting the county pollution control authority.</w:t>
      </w:r>
    </w:p>
    <w:p>
      <w:pPr>
        <w:pStyle w:val="Heading3"/>
        <w:ind w:hanging="0" w:start="0"/>
        <w:rPr/>
      </w:pPr>
      <w:r>
        <w:rPr/>
        <w:t>Chapter 77-516, Laws of Florida validated existing rules and regulations of the Broward County Pollution Control Board, which were made regulations of EQCB by the November 5, 1974 Charter Referendum that made Broward County a Charter County and created Section 8.17 of the Charter.  Special act 77-516 states that the rules and regulations "shall continue in force until repealed by the proper governmental body having jurisdiction thereof."</w:t>
      </w:r>
    </w:p>
    <w:p>
      <w:pPr>
        <w:pStyle w:val="Normal"/>
        <w:rPr/>
      </w:pPr>
      <w:r>
        <w:rPr/>
        <w:tab/>
        <w:tab/>
        <w:t>3.</w:t>
        <w:tab/>
        <w:t xml:space="preserve">The 1990 Charter transferred all of the powers of EQCB to the Board of </w:t>
        <w:tab/>
        <w:tab/>
        <w:tab/>
        <w:tab/>
        <w:t>County Commissioners with no special act validation.</w:t>
      </w:r>
    </w:p>
    <w:p>
      <w:pPr>
        <w:pStyle w:val="Normal"/>
        <w:ind w:firstLine="2160" w:end="0"/>
        <w:rPr/>
      </w:pPr>
      <w:r>
        <w:rPr/>
      </w:r>
    </w:p>
    <w:p>
      <w:pPr>
        <w:pStyle w:val="Normal"/>
        <w:ind w:hanging="720" w:start="2160" w:end="0"/>
        <w:rPr/>
      </w:pPr>
      <w:r>
        <w:rPr/>
        <w:t>4.</w:t>
        <w:tab/>
        <w:t>Ordinance 2000-10 repealed all prior air regulations of Broward County and enacted a new Chapter which contains the regulations that are the subject of the moratorium, thereby cutting itself off from any arguable ratification of those regulations by special act.  Therefore, Broward County's air regulations and permitting requirements are simply the ordinances of a charter county which prevail over municipal ordinances but not over general law pursuant to Article VIII of the Florida Constitution which declares "The governing body of a County operating under a charter may enact County ordinances not inconsistent with general law."</w:t>
      </w:r>
    </w:p>
    <w:p>
      <w:pPr>
        <w:pStyle w:val="Normal"/>
        <w:ind w:hanging="720" w:start="2160" w:end="0"/>
        <w:rPr/>
      </w:pPr>
      <w:r>
        <w:rPr/>
      </w:r>
    </w:p>
    <w:p>
      <w:pPr>
        <w:pStyle w:val="Heading2"/>
        <w:ind w:hanging="0" w:start="0"/>
        <w:rPr/>
      </w:pPr>
      <w:r>
        <w:rPr/>
        <w:t>Section 403.182(2) states, "The Department shall have the exclusive authority and power to require and issue permits; provided, however, the department may delegate its power and authority to local pollution control organizations if the department finds it necessary and desirable to do so."</w:t>
      </w:r>
    </w:p>
    <w:p>
      <w:pPr>
        <w:pStyle w:val="Normal12"/>
        <w:rPr/>
      </w:pPr>
      <w:r>
        <w:rPr/>
        <w:t>The SOA between DEP and Broward County lists air permits for electrical power plants and PSD permits as non-delegated permits.</w:t>
      </w:r>
    </w:p>
    <w:p>
      <w:pPr>
        <w:pStyle w:val="Normal12"/>
        <w:rPr/>
      </w:pPr>
      <w:r>
        <w:rPr/>
        <w:t>In view of this language in general law granting exclusive authority to permit to DEP, Broward County's ordinance Section 27-176 requiring air licenses (which are really permits), is invalid as inconsistent with general law.</w:t>
      </w:r>
    </w:p>
    <w:p>
      <w:pPr>
        <w:pStyle w:val="OutlineLevel1"/>
        <w:rPr/>
      </w:pPr>
      <w:r>
        <w:fldChar w:fldCharType="begin"/>
      </w:r>
      <w:r>
        <w:rPr>
          <w:lang w:val="en-CA" w:eastAsia="en-CA"/>
        </w:rPr>
        <w:instrText xml:space="preserve"> QUOTE</w:instrText>
      </w:r>
      <w:r>
        <w:rPr>
          <w:lang w:val="en-CA" w:eastAsia="en-CA"/>
        </w:rPr>
      </w:r>
      <w:r>
        <w:rPr>
          <w:lang w:val="en-CA" w:eastAsia="en-CA"/>
        </w:rPr>
        <w:fldChar w:fldCharType="separate"/>
      </w:r>
      <w:r>
        <w:rPr>
          <w:lang w:val="en-CA" w:eastAsia="en-CA"/>
        </w:rPr>
        <w:t>II</w:t>
      </w:r>
      <w:r>
        <w:rPr>
          <w:lang w:val="en-CA" w:eastAsia="en-CA"/>
        </w:rPr>
      </w:r>
      <w:r>
        <w:rPr>
          <w:lang w:val="en-CA" w:eastAsia="en-CA"/>
        </w:rPr>
        <w:fldChar w:fldCharType="end"/>
      </w:r>
      <w:r>
        <w:rPr/>
        <w:t>.</w:t>
        <w:tab/>
        <w:t xml:space="preserve">Even if Broward County had local independent permitting authority (which it does not), Section 403.182(1) requires all local programs to be approved.  A moratorium is a regulation which must be approved by DEP as a local program </w:t>
      </w:r>
      <w:r>
        <w:rPr>
          <w:u w:val="single"/>
        </w:rPr>
        <w:t>Alachua County v. Lewis Oil Company</w:t>
      </w:r>
      <w:r>
        <w:rPr/>
        <w:t>, 554 So. 2d 1210 (Fl. 1</w:t>
      </w:r>
      <w:r>
        <w:rPr>
          <w:vertAlign w:val="superscript"/>
        </w:rPr>
        <w:t>st</w:t>
      </w:r>
      <w:r>
        <w:rPr/>
        <w:t xml:space="preserve"> DCA 1989). </w:t>
      </w:r>
    </w:p>
    <w:p>
      <w:pPr>
        <w:pStyle w:val="OutlineLevel1"/>
        <w:spacing w:before="0" w:after="240"/>
        <w:rPr/>
      </w:pPr>
      <w:r>
        <w:rPr/>
        <w:tab/>
      </w:r>
      <w:r>
        <w:rPr>
          <w:b w:val="false"/>
          <w:bCs w:val="false"/>
        </w:rPr>
        <w:t xml:space="preserve"> </w:t>
      </w:r>
    </w:p>
    <w:sectPr>
      <w:headerReference w:type="default" r:id="rId2"/>
      <w:headerReference w:type="first" r:id="rId3"/>
      <w:footerReference w:type="default" r:id="rId4"/>
      <w:footerReference w:type="first" r:id="rId5"/>
      <w:type w:val="nextPage"/>
      <w:pgSz w:w="12240" w:h="15840"/>
      <w:pgMar w:left="1440" w:right="1440" w:gutter="0" w:header="907" w:top="216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Bold">
    <w:altName w:val="CG Times"/>
    <w:charset w:val="00" w:characterSet="windows-1252"/>
    <w:family w:val="roman"/>
    <w:pitch w:val="default"/>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 w:name="Calisto MT">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2159000" cy="87630"/>
              <wp:effectExtent l="0" t="0" r="0" b="0"/>
              <wp:wrapSquare wrapText="bothSides"/>
              <wp:docPr id="1" name="Frame1"/>
              <a:graphic xmlns:a="http://schemas.openxmlformats.org/drawingml/2006/main">
                <a:graphicData uri="http://schemas.microsoft.com/office/word/2010/wordprocessingShape">
                  <wps:wsp>
                    <wps:cNvSpPr txBox="1"/>
                    <wps:spPr>
                      <a:xfrm>
                        <a:off x="0" y="0"/>
                        <a:ext cx="2159000" cy="87630"/>
                      </a:xfrm>
                      <a:prstGeom prst="rect"/>
                      <a:solidFill>
                        <a:srgbClr val="FFFFFF">
                          <a:alpha val="0"/>
                        </a:srgbClr>
                      </a:solidFill>
                    </wps:spPr>
                    <wps:txbx>
                      <w:txbxContent>
                        <w:p>
                          <w:pPr>
                            <w:pStyle w:val="Normal"/>
                            <w:rPr>
                              <w:sz w:val="12"/>
                            </w:rPr>
                          </w:pPr>
                          <w:bookmarkStart w:id="0" w:name="csDocsInfo"/>
                          <w:bookmarkEnd w:id="0"/>
                          <w:r>
                            <w:rPr>
                              <w:sz w:val="12"/>
                            </w:rPr>
                            <w:fldChar w:fldCharType="begin"/>
                          </w:r>
                          <w:r>
                            <w:rPr>
                              <w:sz w:val="12"/>
                            </w:rPr>
                            <w:instrText xml:space="preserve"> DOCPROPERTY "gtTagLine"</w:instrText>
                          </w:r>
                          <w:r>
                            <w:rPr>
                              <w:sz w:val="12"/>
                            </w:rPr>
                            <w:fldChar w:fldCharType="separate"/>
                          </w:r>
                          <w:r>
                            <w:rPr>
                              <w:sz w:val="12"/>
                            </w:rPr>
                            <w:t>\\ftl-srv01\HALLB\348826v01\7H5M01!.DOC\5/30/01\42292.011000</w:t>
                          </w:r>
                          <w:r>
                            <w:rPr>
                              <w:sz w:val="12"/>
                            </w:rPr>
                            <w:fldChar w:fldCharType="end"/>
                          </w:r>
                        </w:p>
                      </w:txbxContent>
                    </wps:txbx>
                    <wps:bodyPr anchor="t" lIns="0" tIns="0" rIns="0" bIns="0">
                      <a:noAutofit/>
                    </wps:bodyPr>
                  </wps:wsp>
                </a:graphicData>
              </a:graphic>
            </wp:anchor>
          </w:drawing>
        </mc:Choice>
        <mc:Fallback>
          <w:pict>
            <v:rect fillcolor="#FFFFFF" style="position:absolute;rotation:-0;width:170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1" w:name="csDocsInfo"/>
                    <w:bookmarkEnd w:id="1"/>
                    <w:r>
                      <w:rPr>
                        <w:sz w:val="12"/>
                      </w:rPr>
                      <w:fldChar w:fldCharType="begin"/>
                    </w:r>
                    <w:r>
                      <w:rPr>
                        <w:sz w:val="12"/>
                      </w:rPr>
                      <w:instrText xml:space="preserve"> DOCPROPERTY "gtTagLine"</w:instrText>
                    </w:r>
                    <w:r>
                      <w:rPr>
                        <w:sz w:val="12"/>
                      </w:rPr>
                      <w:fldChar w:fldCharType="separate"/>
                    </w:r>
                    <w:r>
                      <w:rPr>
                        <w:sz w:val="12"/>
                      </w:rPr>
                      <w:t>\\ftl-srv01\HALLB\348826v01\7H5M01!.DOC\5/30/01\42292.011000</w:t>
                    </w:r>
                    <w:r>
                      <w:rPr>
                        <w:sz w:val="1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mallCaps/>
        <w:sz w:val="20"/>
      </w:rPr>
    </w:pPr>
    <w:r>
      <w:rPr>
        <w:b/>
        <w:bCs/>
        <w:smallCaps/>
        <w:sz w:val="20"/>
      </w:rPr>
    </w:r>
  </w:p>
  <w:p>
    <w:pPr>
      <w:pStyle w:val="Header"/>
      <w:rPr>
        <w:b/>
        <w:bCs/>
        <w:smallCaps/>
        <w:sz w:val="20"/>
      </w:rPr>
    </w:pPr>
    <w:r>
      <w:rPr>
        <w:b/>
        <w:bCs/>
        <w:smallCap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docVars>
    <w:docVar w:name="AttachStyles" w:val="ON"/>
    <w:docVar w:name="AutoUpdate" w:val="ON"/>
    <w:docVar w:name="curLevel" w:val="0"/>
    <w:docVar w:name="curNumDef" w:val="Outline"/>
    <w:docVar w:name="gtTLAUPref" w:val="0"/>
    <w:docVar w:name="gtTLDlgPref" w:val="Current section (footer);36 points;Left;6;1;1;1;1;1;1;0"/>
    <w:docVar w:name="gtTLStatus" w:val="updateable"/>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outlineLvl w:val="0"/>
    </w:pPr>
    <w:rPr>
      <w:rFonts w:ascii="CG Times Bold;CG Times" w:hAnsi="CG Times Bold;CG Times" w:cs="CG Times Bold;CG Times"/>
      <w:b/>
    </w:rPr>
  </w:style>
  <w:style w:type="paragraph" w:styleId="Heading2">
    <w:name w:val="heading 2"/>
    <w:basedOn w:val="Heading1"/>
    <w:next w:val="Normal"/>
    <w:qFormat/>
    <w:pPr>
      <w:numPr>
        <w:ilvl w:val="1"/>
        <w:numId w:val="1"/>
      </w:numPr>
      <w:spacing w:before="0" w:after="240"/>
      <w:outlineLvl w:val="1"/>
    </w:pPr>
    <w:rPr>
      <w:rFonts w:ascii="CG Times" w:hAnsi="CG Times" w:cs="CG Times"/>
      <w:b w:val="false"/>
    </w:rPr>
  </w:style>
  <w:style w:type="paragraph" w:styleId="Heading3">
    <w:name w:val="heading 3"/>
    <w:basedOn w:val="Heading2"/>
    <w:next w:val="Normal"/>
    <w:qFormat/>
    <w:pPr>
      <w:numPr>
        <w:ilvl w:val="2"/>
        <w:numId w:val="1"/>
      </w:numPr>
      <w:outlineLvl w:val="2"/>
    </w:pPr>
    <w:rPr/>
  </w:style>
  <w:style w:type="paragraph" w:styleId="Heading4">
    <w:name w:val="heading 4"/>
    <w:basedOn w:val="Heading3"/>
    <w:next w:val="Normal"/>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paragraph" w:styleId="Heading6">
    <w:name w:val="heading 6"/>
    <w:basedOn w:val="Heading5"/>
    <w:next w:val="Normal"/>
    <w:qFormat/>
    <w:pPr>
      <w:numPr>
        <w:ilvl w:val="5"/>
        <w:numId w:val="1"/>
      </w:numPr>
      <w:outlineLvl w:val="5"/>
    </w:pPr>
    <w:rPr/>
  </w:style>
  <w:style w:type="paragraph" w:styleId="Heading7">
    <w:name w:val="heading 7"/>
    <w:basedOn w:val="Heading6"/>
    <w:next w:val="Normal"/>
    <w:qFormat/>
    <w:pPr>
      <w:numPr>
        <w:ilvl w:val="6"/>
        <w:numId w:val="1"/>
      </w:numPr>
      <w:outlineLvl w:val="6"/>
    </w:pPr>
    <w:rPr/>
  </w:style>
  <w:style w:type="paragraph" w:styleId="Heading8">
    <w:name w:val="heading 8"/>
    <w:basedOn w:val="Heading7"/>
    <w:next w:val="Normal"/>
    <w:qFormat/>
    <w:pPr>
      <w:numPr>
        <w:ilvl w:val="7"/>
        <w:numId w:val="1"/>
      </w:numPr>
      <w:outlineLvl w:val="7"/>
    </w:pPr>
    <w:rPr/>
  </w:style>
  <w:style w:type="paragraph" w:styleId="Heading9">
    <w:name w:val="heading 9"/>
    <w:basedOn w:val="Heading8"/>
    <w:next w:val="Normal"/>
    <w:qFormat/>
    <w:pPr>
      <w:numPr>
        <w:ilvl w:val="8"/>
        <w:numId w:val="1"/>
      </w:numPr>
      <w:tabs>
        <w:tab w:val="clear" w:pos="720"/>
        <w:tab w:val="left" w:pos="360" w:leader="none"/>
      </w:tabs>
      <w:outlineLvl w:val="8"/>
    </w:pPr>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rFonts w:ascii="CG Times" w:hAnsi="CG Times" w:cs="CG Times"/>
      <w:sz w:val="24"/>
    </w:rPr>
  </w:style>
  <w:style w:type="character" w:styleId="FootnoteCharacters">
    <w:name w:val="Footnote Characters"/>
    <w:basedOn w:val="DefaultParagraphFont"/>
    <w:qFormat/>
    <w:rPr>
      <w:rFonts w:ascii="CG Times" w:hAnsi="CG Times" w:cs="CG Times"/>
      <w:sz w:val="24"/>
      <w:u w:val="none"/>
      <w:vertAlign w:val="superscript"/>
    </w:rPr>
  </w:style>
  <w:style w:type="character" w:styleId="Hyperlink">
    <w:name w:val="Hyperlink"/>
    <w:basedOn w:val="DefaultParagraphFont"/>
    <w:rPr>
      <w:rFonts w:ascii="Verdana" w:hAnsi="Verdana" w:cs="Verdana"/>
      <w:color w:val="000080"/>
      <w:sz w:val="18"/>
      <w:szCs w:val="18"/>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spacing w:before="0" w:after="120"/>
      <w:ind w:hanging="720" w:start="720" w:end="0"/>
    </w:pPr>
    <w:rPr/>
  </w:style>
  <w:style w:type="paragraph" w:styleId="TopLabel">
    <w:name w:val="Top Label"/>
    <w:basedOn w:val="Normal"/>
    <w:qFormat/>
    <w:pPr>
      <w:tabs>
        <w:tab w:val="clear" w:pos="720"/>
        <w:tab w:val="center" w:pos="1080" w:leader="none"/>
      </w:tabs>
      <w:spacing w:before="0" w:after="480"/>
      <w:ind w:hanging="1440" w:start="1440" w:end="0"/>
    </w:pPr>
    <w:rPr>
      <w:rFonts w:ascii="Times New Roman Bold;Times New Roman" w:hAnsi="Times New Roman Bold;Times New Roman" w:cs="Times New Roman Bold;Times New Roman"/>
      <w:b/>
      <w:sz w:val="28"/>
    </w:rPr>
  </w:style>
  <w:style w:type="paragraph" w:styleId="MemoTop">
    <w:name w:val="MemoTop"/>
    <w:basedOn w:val="Normal"/>
    <w:next w:val="MemoTop2"/>
    <w:qFormat/>
    <w:pPr>
      <w:spacing w:before="0" w:after="200"/>
      <w:ind w:hanging="0" w:start="720" w:end="0"/>
    </w:pPr>
    <w:rPr>
      <w:rFonts w:ascii="CG Times Bold;CG Times" w:hAnsi="CG Times Bold;CG Times" w:cs="CG Times Bold;CG Times"/>
      <w:b/>
      <w:sz w:val="48"/>
    </w:rPr>
  </w:style>
  <w:style w:type="paragraph" w:styleId="MemoTop2">
    <w:name w:val="MemoTop2"/>
    <w:basedOn w:val="MemoTop"/>
    <w:next w:val="TopLabel"/>
    <w:qFormat/>
    <w:pPr>
      <w:spacing w:before="0" w:after="680"/>
    </w:pPr>
    <w:rPr/>
  </w:style>
  <w:style w:type="paragraph" w:styleId="MemoLine">
    <w:name w:val="MemoLine"/>
    <w:next w:val="Normal"/>
    <w:qFormat/>
    <w:pPr>
      <w:widowControl/>
      <w:tabs>
        <w:tab w:val="clear" w:pos="720"/>
        <w:tab w:val="right" w:pos="9360" w:leader="none"/>
      </w:tabs>
      <w:overflowPunct w:val="false"/>
      <w:autoSpaceDE w:val="false"/>
      <w:bidi w:val="0"/>
      <w:textAlignment w:val="baseline"/>
    </w:pPr>
    <w:rPr>
      <w:rFonts w:ascii="Calisto MT;Book Antiqua" w:hAnsi="Calisto MT;Book Antiqua" w:eastAsia="Times New Roman" w:cs="Calisto MT;Book Antiqua"/>
      <w:color w:val="auto"/>
      <w:sz w:val="24"/>
      <w:szCs w:val="20"/>
      <w:u w:val="double"/>
      <w:lang w:val="en-US" w:bidi="ar-SA" w:eastAsia="zh-CN"/>
    </w:rPr>
  </w:style>
  <w:style w:type="paragraph" w:styleId="DoubleLine">
    <w:name w:val="DoubleLine"/>
    <w:basedOn w:val="Normal"/>
    <w:next w:val="Normal"/>
    <w:qFormat/>
    <w:pPr>
      <w:tabs>
        <w:tab w:val="clear" w:pos="720"/>
        <w:tab w:val="right" w:pos="9360" w:leader="none"/>
      </w:tabs>
    </w:pPr>
    <w:rPr>
      <w:rFonts w:ascii="Calisto MT;Book Antiqua" w:hAnsi="Calisto MT;Book Antiqua" w:cs="Calisto MT;Book Antiqua"/>
      <w:u w:val="double"/>
    </w:rPr>
  </w:style>
  <w:style w:type="paragraph" w:styleId="QuoteIndent">
    <w:name w:val="QuoteIndent"/>
    <w:basedOn w:val="Normal"/>
    <w:next w:val="Normal"/>
    <w:qFormat/>
    <w:pPr>
      <w:ind w:hanging="0" w:start="720" w:end="720"/>
    </w:pPr>
    <w:rPr/>
  </w:style>
  <w:style w:type="paragraph" w:styleId="CenteredSM">
    <w:name w:val="Centered/SM"/>
    <w:basedOn w:val="Normal"/>
    <w:next w:val="Normal"/>
    <w:qFormat/>
    <w:pPr>
      <w:keepNext w:val="true"/>
      <w:tabs>
        <w:tab w:val="clear" w:pos="720"/>
      </w:tabs>
      <w:spacing w:before="0" w:after="120"/>
      <w:ind w:hanging="0" w:start="1440" w:end="1440"/>
      <w:jc w:val="center"/>
    </w:pPr>
    <w:rPr>
      <w:rFonts w:ascii="CG Times Bold;CG Times" w:hAnsi="CG Times Bold;CG Times" w:cs="CG Times Bold;CG Times"/>
      <w:b/>
      <w:smallCaps/>
    </w:rPr>
  </w:style>
  <w:style w:type="paragraph" w:styleId="QuoteFootnote">
    <w:name w:val="QuoteFootnote"/>
    <w:basedOn w:val="FootnoteText"/>
    <w:next w:val="FootnoteText"/>
    <w:qFormat/>
    <w:pPr>
      <w:ind w:hanging="0" w:start="1440" w:end="720"/>
    </w:pPr>
    <w:rPr/>
  </w:style>
  <w:style w:type="paragraph" w:styleId="NormalWeb">
    <w:name w:val="Normal (Web)"/>
    <w:basedOn w:val="Normal"/>
    <w:qFormat/>
    <w:pPr>
      <w:tabs>
        <w:tab w:val="clear" w:pos="720"/>
      </w:tabs>
      <w:suppressAutoHyphens w:val="false"/>
      <w:spacing w:before="100" w:after="100"/>
      <w:jc w:val="start"/>
    </w:pPr>
    <w:rPr>
      <w:rFonts w:ascii="Verdana" w:hAnsi="Verdana" w:eastAsia="Arial Unicode MS" w:cs="Arial Unicode MS"/>
      <w:color w:val="000080"/>
      <w:sz w:val="18"/>
      <w:szCs w:val="18"/>
    </w:rPr>
  </w:style>
  <w:style w:type="paragraph" w:styleId="Para">
    <w:name w:val="Para"/>
    <w:basedOn w:val="Normal"/>
    <w:qFormat/>
    <w:pPr>
      <w:tabs>
        <w:tab w:val="clear" w:pos="720"/>
      </w:tabs>
      <w:spacing w:before="0" w:after="240"/>
      <w:ind w:firstLine="720" w:start="0" w:end="0"/>
    </w:pPr>
    <w:rPr>
      <w:rFonts w:ascii="Times New Roman" w:hAnsi="Times New Roman" w:cs="Times New Roman"/>
    </w:rPr>
  </w:style>
  <w:style w:type="paragraph" w:styleId="cb">
    <w:name w:val="cb"/>
    <w:basedOn w:val="Normal"/>
    <w:qFormat/>
    <w:pPr>
      <w:keepNext w:val="true"/>
      <w:keepLines/>
      <w:tabs>
        <w:tab w:val="clear" w:pos="720"/>
      </w:tabs>
      <w:spacing w:before="0" w:after="240"/>
      <w:jc w:val="center"/>
    </w:pPr>
    <w:rPr>
      <w:rFonts w:ascii="Times New Roman Bold;Times New Roman" w:hAnsi="Times New Roman Bold;Times New Roman" w:cs="Times New Roman Bold;Times New Roman"/>
      <w:b/>
    </w:rPr>
  </w:style>
  <w:style w:type="paragraph" w:styleId="cbu">
    <w:name w:val="cbu"/>
    <w:basedOn w:val="cb"/>
    <w:qFormat/>
    <w:pPr/>
    <w:rPr>
      <w:u w:val="single"/>
    </w:rPr>
  </w:style>
  <w:style w:type="paragraph" w:styleId="Center">
    <w:name w:val="Center"/>
    <w:basedOn w:val="Normal"/>
    <w:qFormat/>
    <w:pPr>
      <w:tabs>
        <w:tab w:val="clear" w:pos="720"/>
      </w:tabs>
      <w:spacing w:before="0" w:after="240"/>
      <w:jc w:val="center"/>
    </w:pPr>
    <w:rPr>
      <w:rFonts w:ascii="Times New Roman" w:hAnsi="Times New Roman" w:cs="Times New Roman"/>
    </w:rPr>
  </w:style>
  <w:style w:type="paragraph" w:styleId="Indent5">
    <w:name w:val="Indent .5"/>
    <w:basedOn w:val="Normal"/>
    <w:qFormat/>
    <w:pPr>
      <w:tabs>
        <w:tab w:val="clear" w:pos="720"/>
      </w:tabs>
      <w:spacing w:before="0" w:after="240"/>
      <w:ind w:hanging="0" w:start="720" w:end="720"/>
    </w:pPr>
    <w:rPr>
      <w:rFonts w:ascii="Times New Roman" w:hAnsi="Times New Roman" w:cs="Times New Roman"/>
    </w:rPr>
  </w:style>
  <w:style w:type="paragraph" w:styleId="Indent10">
    <w:name w:val="Indent 1.0"/>
    <w:basedOn w:val="Indent5"/>
    <w:qFormat/>
    <w:pPr>
      <w:ind w:hanging="0" w:start="1440" w:end="0"/>
    </w:pPr>
    <w:rPr/>
  </w:style>
  <w:style w:type="paragraph" w:styleId="Normal12">
    <w:name w:val="Normal 12"/>
    <w:basedOn w:val="Normal"/>
    <w:qFormat/>
    <w:pPr>
      <w:spacing w:before="0" w:after="240"/>
      <w:ind w:hanging="0" w:start="720" w:end="0"/>
    </w:pPr>
    <w:rPr/>
  </w:style>
  <w:style w:type="paragraph" w:styleId="Normal10">
    <w:name w:val="Normal 1.0"/>
    <w:basedOn w:val="Normal"/>
    <w:qFormat/>
    <w:pPr>
      <w:spacing w:before="0" w:after="240"/>
      <w:ind w:firstLine="1440" w:start="0" w:end="0"/>
    </w:pPr>
    <w:rPr/>
  </w:style>
  <w:style w:type="paragraph" w:styleId="Hanging5">
    <w:name w:val="Hanging .5"/>
    <w:basedOn w:val="Normal"/>
    <w:qFormat/>
    <w:pPr>
      <w:keepNext w:val="true"/>
      <w:keepLines/>
      <w:spacing w:before="0" w:after="240"/>
      <w:ind w:hanging="720" w:start="720" w:end="0"/>
    </w:pPr>
    <w:rPr>
      <w:b/>
      <w:bCs/>
    </w:rPr>
  </w:style>
  <w:style w:type="paragraph" w:styleId="Indent5Italics">
    <w:name w:val="Indent .5Italics"/>
    <w:basedOn w:val="Indent5"/>
    <w:qFormat/>
    <w:pPr/>
    <w:rPr>
      <w:i/>
    </w:rPr>
  </w:style>
  <w:style w:type="paragraph" w:styleId="OutlineLevel1">
    <w:name w:val="OutlineLevel1"/>
    <w:basedOn w:val="Hanging5"/>
    <w:qFormat/>
    <w:pPr/>
    <w:rPr>
      <w:rFonts w:ascii="Times New Roman Bold;Times New Roman" w:hAnsi="Times New Roman Bold;Times New Roman" w:cs="Times New Roman Bold;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PCS Memo without Logo.dot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2001-06-14T11:12:00Z</dcterms:created>
  <dc:creator>Barbara Augenblick</dc:creator>
  <dc:description/>
  <dc:language>en-CA</dc:language>
  <cp:lastModifiedBy>MIS</cp:lastModifiedBy>
  <cp:lastPrinted>2001-06-06T13:45:00Z</cp:lastPrinted>
  <dcterms:modified xsi:type="dcterms:W3CDTF">2001-06-14T11:12:00Z</dcterms:modified>
  <cp:revision>2</cp:revision>
  <dc:subject/>
  <dc:title>SHELL/AJE MEMO (W/O LOGO)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\\ftl-srv01\HALLB\348826v01\7H5M01!.DOC\5/30/01\42292.011000</vt:lpwstr>
  </property>
</Properties>
</file>