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pPr>
      <w:r>
        <w:rPr/>
        <w:t>Broker Client Update</w:t>
      </w:r>
    </w:p>
    <w:p>
      <w:pPr>
        <w:pStyle w:val="Normal"/>
        <w:jc w:val="center"/>
        <w:rPr>
          <w:sz w:val="24"/>
        </w:rPr>
      </w:pPr>
      <w:r>
        <w:rPr>
          <w:sz w:val="24"/>
        </w:rPr>
        <w:t>October 19, 2000</w:t>
      </w:r>
    </w:p>
    <w:p>
      <w:pPr>
        <w:pStyle w:val="Normal"/>
        <w:jc w:val="center"/>
        <w:rPr>
          <w:sz w:val="24"/>
        </w:rPr>
      </w:pPr>
      <w:r>
        <w:rPr>
          <w:sz w:val="24"/>
        </w:rPr>
      </w:r>
    </w:p>
    <w:p>
      <w:pPr>
        <w:pStyle w:val="Normal"/>
        <w:numPr>
          <w:ilvl w:val="0"/>
          <w:numId w:val="3"/>
        </w:numPr>
        <w:rPr>
          <w:sz w:val="24"/>
        </w:rPr>
      </w:pPr>
      <w:r>
        <w:rPr>
          <w:sz w:val="24"/>
        </w:rPr>
        <w:t>October 18, 2000 Meeting (Debbie Nichols, Gail Hill, Jeff Sorenson (London); Sherri Thomas, Jennifer Denny, Tom Moran, Mary Gosnell, Mellisa Murphy, Joe Hunter (Houston)</w:t>
        <w:br/>
      </w:r>
    </w:p>
    <w:p>
      <w:pPr>
        <w:pStyle w:val="Normal"/>
        <w:numPr>
          <w:ilvl w:val="0"/>
          <w:numId w:val="2"/>
        </w:numPr>
        <w:rPr>
          <w:sz w:val="24"/>
        </w:rPr>
      </w:pPr>
      <w:r>
        <w:rPr>
          <w:sz w:val="24"/>
        </w:rPr>
        <w:t>Current Broker Confirmation Procedures</w:t>
        <w:br/>
      </w:r>
    </w:p>
    <w:p>
      <w:pPr>
        <w:pStyle w:val="Normal"/>
        <w:numPr>
          <w:ilvl w:val="0"/>
          <w:numId w:val="5"/>
        </w:numPr>
        <w:tabs>
          <w:tab w:val="left" w:pos="720" w:leader="none"/>
        </w:tabs>
        <w:ind w:hanging="360" w:start="720" w:end="0"/>
        <w:rPr>
          <w:sz w:val="24"/>
        </w:rPr>
      </w:pPr>
      <w:r>
        <w:rPr>
          <w:sz w:val="24"/>
        </w:rPr>
        <w:t>US Gas Physical: Broker check out same day/No Verbal Counterparty/Paper Counterparty*</w:t>
      </w:r>
    </w:p>
    <w:p>
      <w:pPr>
        <w:pStyle w:val="Normal"/>
        <w:numPr>
          <w:ilvl w:val="0"/>
          <w:numId w:val="5"/>
        </w:numPr>
        <w:tabs>
          <w:tab w:val="left" w:pos="720" w:leader="none"/>
        </w:tabs>
        <w:ind w:hanging="360" w:start="720" w:end="0"/>
        <w:rPr>
          <w:sz w:val="24"/>
        </w:rPr>
      </w:pPr>
      <w:r>
        <w:rPr>
          <w:sz w:val="24"/>
        </w:rPr>
        <w:t>US Gas Financial: Broker check out same day/No Verbal Counterparty/Paper Counterparty**</w:t>
      </w:r>
    </w:p>
    <w:p>
      <w:pPr>
        <w:pStyle w:val="Normal"/>
        <w:numPr>
          <w:ilvl w:val="0"/>
          <w:numId w:val="5"/>
        </w:numPr>
        <w:tabs>
          <w:tab w:val="left" w:pos="720" w:leader="none"/>
        </w:tabs>
        <w:ind w:hanging="360" w:start="720" w:end="0"/>
        <w:rPr>
          <w:sz w:val="24"/>
        </w:rPr>
      </w:pPr>
      <w:r>
        <w:rPr>
          <w:sz w:val="24"/>
        </w:rPr>
        <w:t>US Power Physical: Verbal broker check out same day/Paper broker check out next day/No Verbal Counterparty/Paper Counterparty *</w:t>
      </w:r>
    </w:p>
    <w:p>
      <w:pPr>
        <w:pStyle w:val="Normal"/>
        <w:numPr>
          <w:ilvl w:val="0"/>
          <w:numId w:val="5"/>
        </w:numPr>
        <w:tabs>
          <w:tab w:val="left" w:pos="720" w:leader="none"/>
        </w:tabs>
        <w:ind w:hanging="360" w:start="720" w:end="0"/>
        <w:rPr>
          <w:sz w:val="24"/>
        </w:rPr>
      </w:pPr>
      <w:r>
        <w:rPr>
          <w:sz w:val="24"/>
        </w:rPr>
        <w:t>US Power Financial: Verbal broker check out same day/Paper broker check out next day/No Verbal Counterparty/Paper Counterparty **</w:t>
      </w:r>
    </w:p>
    <w:p>
      <w:pPr>
        <w:pStyle w:val="Normal"/>
        <w:numPr>
          <w:ilvl w:val="0"/>
          <w:numId w:val="5"/>
        </w:numPr>
        <w:tabs>
          <w:tab w:val="left" w:pos="720" w:leader="none"/>
        </w:tabs>
        <w:ind w:hanging="360" w:start="720" w:end="0"/>
        <w:rPr>
          <w:sz w:val="24"/>
        </w:rPr>
      </w:pPr>
      <w:r>
        <w:rPr>
          <w:sz w:val="24"/>
        </w:rPr>
        <w:t>European Physical: Verbal or Paper broker check out next day /No Verbal Counterparty/Paper Counterparty</w:t>
      </w:r>
    </w:p>
    <w:p>
      <w:pPr>
        <w:pStyle w:val="Normal"/>
        <w:numPr>
          <w:ilvl w:val="0"/>
          <w:numId w:val="5"/>
        </w:numPr>
        <w:tabs>
          <w:tab w:val="left" w:pos="720" w:leader="none"/>
        </w:tabs>
        <w:ind w:hanging="360" w:start="720" w:end="0"/>
        <w:rPr>
          <w:sz w:val="24"/>
        </w:rPr>
      </w:pPr>
      <w:r>
        <w:rPr>
          <w:sz w:val="24"/>
        </w:rPr>
        <w:t>European Financial: Verbal of Paper broker check out next day/No Verbal Counterparty/Paper Counterparty</w:t>
        <w:br/>
      </w:r>
    </w:p>
    <w:p>
      <w:pPr>
        <w:pStyle w:val="Normal"/>
        <w:numPr>
          <w:ilvl w:val="0"/>
          <w:numId w:val="2"/>
        </w:numPr>
        <w:rPr>
          <w:sz w:val="24"/>
        </w:rPr>
      </w:pPr>
      <w:r>
        <w:rPr>
          <w:sz w:val="24"/>
        </w:rPr>
        <w:t>Current EnronOnline Confirmation Procedures</w:t>
        <w:br/>
      </w:r>
    </w:p>
    <w:p>
      <w:pPr>
        <w:pStyle w:val="Normal"/>
        <w:numPr>
          <w:ilvl w:val="0"/>
          <w:numId w:val="5"/>
        </w:numPr>
        <w:tabs>
          <w:tab w:val="left" w:pos="720" w:leader="none"/>
        </w:tabs>
        <w:ind w:hanging="360" w:start="720" w:end="0"/>
        <w:rPr>
          <w:sz w:val="24"/>
        </w:rPr>
      </w:pPr>
      <w:r>
        <w:rPr>
          <w:sz w:val="24"/>
        </w:rPr>
        <w:t>US Gas Physical: No Verbal Counterparty/Paper Counterparty*</w:t>
      </w:r>
    </w:p>
    <w:p>
      <w:pPr>
        <w:pStyle w:val="Normal"/>
        <w:numPr>
          <w:ilvl w:val="0"/>
          <w:numId w:val="5"/>
        </w:numPr>
        <w:tabs>
          <w:tab w:val="left" w:pos="720" w:leader="none"/>
        </w:tabs>
        <w:ind w:hanging="360" w:start="720" w:end="0"/>
        <w:rPr>
          <w:sz w:val="24"/>
        </w:rPr>
      </w:pPr>
      <w:r>
        <w:rPr>
          <w:sz w:val="24"/>
        </w:rPr>
        <w:t>US Gas Financial: No Verbal Counterparty/Paper Counterparty**</w:t>
      </w:r>
    </w:p>
    <w:p>
      <w:pPr>
        <w:pStyle w:val="Normal"/>
        <w:numPr>
          <w:ilvl w:val="0"/>
          <w:numId w:val="5"/>
        </w:numPr>
        <w:tabs>
          <w:tab w:val="left" w:pos="720" w:leader="none"/>
        </w:tabs>
        <w:ind w:hanging="360" w:start="720" w:end="0"/>
        <w:rPr>
          <w:sz w:val="24"/>
        </w:rPr>
      </w:pPr>
      <w:r>
        <w:rPr>
          <w:sz w:val="24"/>
        </w:rPr>
        <w:t>US Power Physical: No Verbal Counterparty/Paper Counterparty*</w:t>
      </w:r>
    </w:p>
    <w:p>
      <w:pPr>
        <w:pStyle w:val="Normal"/>
        <w:numPr>
          <w:ilvl w:val="0"/>
          <w:numId w:val="5"/>
        </w:numPr>
        <w:tabs>
          <w:tab w:val="left" w:pos="720" w:leader="none"/>
        </w:tabs>
        <w:ind w:hanging="360" w:start="720" w:end="0"/>
        <w:rPr>
          <w:sz w:val="24"/>
        </w:rPr>
      </w:pPr>
      <w:r>
        <w:rPr>
          <w:sz w:val="24"/>
        </w:rPr>
        <w:t>US Power Financial: No Verbal Counterparty/Paper Counterparty**</w:t>
      </w:r>
    </w:p>
    <w:p>
      <w:pPr>
        <w:pStyle w:val="Normal"/>
        <w:numPr>
          <w:ilvl w:val="0"/>
          <w:numId w:val="5"/>
        </w:numPr>
        <w:tabs>
          <w:tab w:val="left" w:pos="720" w:leader="none"/>
        </w:tabs>
        <w:ind w:hanging="360" w:start="720" w:end="0"/>
        <w:rPr>
          <w:sz w:val="24"/>
        </w:rPr>
      </w:pPr>
      <w:r>
        <w:rPr>
          <w:sz w:val="24"/>
        </w:rPr>
        <w:t>European Physical: No Verbal Counterparty/Paper Counterparty</w:t>
      </w:r>
    </w:p>
    <w:p>
      <w:pPr>
        <w:pStyle w:val="Normal"/>
        <w:numPr>
          <w:ilvl w:val="0"/>
          <w:numId w:val="5"/>
        </w:numPr>
        <w:tabs>
          <w:tab w:val="left" w:pos="720" w:leader="none"/>
        </w:tabs>
        <w:ind w:hanging="360" w:start="720" w:end="0"/>
        <w:rPr/>
      </w:pPr>
      <w:r>
        <w:rPr>
          <w:sz w:val="24"/>
        </w:rPr>
        <w:t>European Financial: No Verbal Counterparty/Paper Counterparty</w:t>
        <w:br/>
        <w:br/>
        <w:t xml:space="preserve">*   </w:t>
      </w:r>
      <w:r>
        <w:rPr/>
        <w:t>Paper could be either required signature or negative confirmations</w:t>
      </w:r>
      <w:r>
        <w:rPr>
          <w:sz w:val="24"/>
        </w:rPr>
        <w:br/>
        <w:t>* *</w:t>
      </w:r>
      <w:r>
        <w:rPr/>
        <w:t>Paper requires signature</w:t>
        <w:br/>
      </w:r>
    </w:p>
    <w:p>
      <w:pPr>
        <w:pStyle w:val="Normal"/>
        <w:numPr>
          <w:ilvl w:val="0"/>
          <w:numId w:val="2"/>
        </w:numPr>
        <w:rPr>
          <w:sz w:val="24"/>
        </w:rPr>
      </w:pPr>
      <w:r>
        <w:rPr>
          <w:sz w:val="24"/>
        </w:rPr>
        <w:t>Confirmation Alternatives and Impacts</w:t>
        <w:br/>
      </w:r>
    </w:p>
    <w:p>
      <w:pPr>
        <w:pStyle w:val="Normal"/>
        <w:numPr>
          <w:ilvl w:val="0"/>
          <w:numId w:val="5"/>
        </w:numPr>
        <w:tabs>
          <w:tab w:val="left" w:pos="720" w:leader="none"/>
        </w:tabs>
        <w:ind w:hanging="360" w:start="720" w:end="0"/>
        <w:rPr>
          <w:sz w:val="24"/>
        </w:rPr>
      </w:pPr>
      <w:r>
        <w:rPr>
          <w:sz w:val="24"/>
        </w:rPr>
        <w:t>Daily Broker check out and 24 hour Verbal Counterparty Confirmation: 24 hour broker margin release time; procedure change; incremental operations expense for verbal confirmation addition; counterparties may identify that broker deal was done via EnronOnline due to verbal on broker deals; minimal incremental operations expense managing broker margin account (systematic)</w:t>
      </w:r>
    </w:p>
    <w:p>
      <w:pPr>
        <w:pStyle w:val="Normal"/>
        <w:numPr>
          <w:ilvl w:val="0"/>
          <w:numId w:val="5"/>
        </w:numPr>
        <w:tabs>
          <w:tab w:val="left" w:pos="720" w:leader="none"/>
        </w:tabs>
        <w:ind w:hanging="360" w:start="720" w:end="0"/>
        <w:rPr>
          <w:sz w:val="24"/>
        </w:rPr>
      </w:pPr>
      <w:r>
        <w:rPr>
          <w:sz w:val="24"/>
        </w:rPr>
        <w:t>Current Broker Confirmations Procedures: Undefined broker margin release time; no procedure change; incremental operations expense managing broker margin account to ensure timely release upon receipt of confirmation</w:t>
      </w:r>
    </w:p>
    <w:p>
      <w:pPr>
        <w:pStyle w:val="Normal"/>
        <w:numPr>
          <w:ilvl w:val="0"/>
          <w:numId w:val="5"/>
        </w:numPr>
        <w:tabs>
          <w:tab w:val="left" w:pos="720" w:leader="none"/>
        </w:tabs>
        <w:ind w:hanging="360" w:start="720" w:end="0"/>
        <w:rPr>
          <w:sz w:val="24"/>
        </w:rPr>
      </w:pPr>
      <w:r>
        <w:rPr>
          <w:sz w:val="24"/>
        </w:rPr>
        <w:t>Daily Broker check out and 24 hour Paper Counterparty: Establish 3 day confirmation requirement on Enron for margin release; limited procedure change; Enron exposure after 3 days; minimal incremental operations expense managing broker margin account (systematic)</w:t>
        <w:br/>
      </w:r>
    </w:p>
    <w:p>
      <w:pPr>
        <w:pStyle w:val="Normal"/>
        <w:numPr>
          <w:ilvl w:val="0"/>
          <w:numId w:val="2"/>
        </w:numPr>
        <w:rPr>
          <w:sz w:val="24"/>
        </w:rPr>
      </w:pPr>
      <w:r>
        <w:rPr>
          <w:sz w:val="24"/>
        </w:rPr>
        <w:t>Broker Position Calculations</w:t>
        <w:br/>
      </w:r>
    </w:p>
    <w:p>
      <w:pPr>
        <w:pStyle w:val="Normal"/>
        <w:numPr>
          <w:ilvl w:val="0"/>
          <w:numId w:val="4"/>
        </w:numPr>
        <w:tabs>
          <w:tab w:val="left" w:pos="720" w:leader="none"/>
        </w:tabs>
        <w:ind w:hanging="360" w:start="720" w:end="0"/>
        <w:rPr>
          <w:sz w:val="24"/>
        </w:rPr>
      </w:pPr>
      <w:r>
        <w:rPr>
          <w:sz w:val="24"/>
        </w:rPr>
        <w:t>Currently no means to book simultaneous Counterparty positions (Broker and Counterparty) in risk systems in such a way that would allow GRMS to calculate credit exposure but not calculate double value at risk</w:t>
      </w:r>
    </w:p>
    <w:p>
      <w:pPr>
        <w:pStyle w:val="Normal"/>
        <w:numPr>
          <w:ilvl w:val="0"/>
          <w:numId w:val="4"/>
        </w:numPr>
        <w:tabs>
          <w:tab w:val="left" w:pos="720" w:leader="none"/>
        </w:tabs>
        <w:ind w:hanging="360" w:start="720" w:end="0"/>
        <w:rPr/>
      </w:pPr>
      <w:r>
        <w:rPr>
          <w:sz w:val="24"/>
        </w:rPr>
        <w:t>Interim solution may be to use EnronOnline intraday risk calculation as measure for margin requirement.  Would require an EnronOnline report to be generated that would list daily risk position for each broker.  May require manual entry into credit headroom system.</w:t>
        <w:br/>
      </w:r>
    </w:p>
    <w:p>
      <w:pPr>
        <w:pStyle w:val="Normal"/>
        <w:numPr>
          <w:ilvl w:val="0"/>
          <w:numId w:val="2"/>
        </w:numPr>
        <w:rPr>
          <w:sz w:val="24"/>
        </w:rPr>
      </w:pPr>
      <w:r>
        <w:rPr>
          <w:sz w:val="24"/>
        </w:rPr>
        <w:t>Other Issues to be reviewed</w:t>
        <w:br/>
      </w:r>
    </w:p>
    <w:p>
      <w:pPr>
        <w:pStyle w:val="Normal"/>
        <w:numPr>
          <w:ilvl w:val="0"/>
          <w:numId w:val="4"/>
        </w:numPr>
        <w:tabs>
          <w:tab w:val="left" w:pos="720" w:leader="none"/>
        </w:tabs>
        <w:ind w:hanging="360" w:start="720" w:end="0"/>
        <w:rPr>
          <w:sz w:val="24"/>
        </w:rPr>
      </w:pPr>
      <w:r>
        <w:rPr>
          <w:sz w:val="24"/>
        </w:rPr>
        <w:t>What are the incremental cost for operational changes (Sally Beck designee).</w:t>
      </w:r>
    </w:p>
    <w:p>
      <w:pPr>
        <w:pStyle w:val="Normal"/>
        <w:numPr>
          <w:ilvl w:val="0"/>
          <w:numId w:val="4"/>
        </w:numPr>
        <w:tabs>
          <w:tab w:val="left" w:pos="720" w:leader="none"/>
        </w:tabs>
        <w:ind w:hanging="360" w:start="720" w:end="0"/>
        <w:rPr>
          <w:sz w:val="24"/>
        </w:rPr>
      </w:pPr>
      <w:r>
        <w:rPr>
          <w:sz w:val="24"/>
        </w:rPr>
        <w:t>Can Broker transact for Counterparty that does not have a signed GTC or Master Agreement?  Mark Taylor to answer however I believe that they can using same process that we would transact offline without agreement.  What is current process for phone transactions with Counterparties without signed GTC or Master? (spec to Theresa)</w:t>
      </w:r>
    </w:p>
    <w:p>
      <w:pPr>
        <w:pStyle w:val="Normal"/>
        <w:numPr>
          <w:ilvl w:val="0"/>
          <w:numId w:val="4"/>
        </w:numPr>
        <w:tabs>
          <w:tab w:val="left" w:pos="720" w:leader="none"/>
        </w:tabs>
        <w:ind w:hanging="360" w:start="720" w:end="0"/>
        <w:rPr>
          <w:sz w:val="24"/>
        </w:rPr>
      </w:pPr>
      <w:r>
        <w:rPr>
          <w:sz w:val="24"/>
        </w:rPr>
        <w:t xml:space="preserve">Can a Broker transact for a Counterparty that does not have execute access to EnronOnline? (spec to Theresa) I believe they can as long as they are in the EnronOnline database and are being fed credit. </w:t>
      </w:r>
    </w:p>
    <w:p>
      <w:pPr>
        <w:pStyle w:val="Normal"/>
        <w:numPr>
          <w:ilvl w:val="0"/>
          <w:numId w:val="4"/>
        </w:numPr>
        <w:tabs>
          <w:tab w:val="left" w:pos="720" w:leader="none"/>
        </w:tabs>
        <w:ind w:hanging="360" w:start="720" w:end="0"/>
        <w:rPr>
          <w:sz w:val="24"/>
        </w:rPr>
      </w:pPr>
      <w:r>
        <w:rPr>
          <w:sz w:val="24"/>
        </w:rPr>
        <w:t>Can a Broker transact a product type for a Counterparty that they are not approved for in EnronOnline? (spec to Theresa)</w:t>
      </w:r>
    </w:p>
    <w:p>
      <w:pPr>
        <w:pStyle w:val="Normal"/>
        <w:numPr>
          <w:ilvl w:val="0"/>
          <w:numId w:val="4"/>
        </w:numPr>
        <w:tabs>
          <w:tab w:val="left" w:pos="720" w:leader="none"/>
        </w:tabs>
        <w:ind w:hanging="360" w:start="720" w:end="0"/>
        <w:rPr>
          <w:sz w:val="24"/>
        </w:rPr>
      </w:pPr>
      <w:r>
        <w:rPr>
          <w:sz w:val="24"/>
        </w:rPr>
        <w:t>What agreement will the counterparty be confirmed under? (Presume same as offline procedure)</w:t>
      </w:r>
    </w:p>
    <w:p>
      <w:pPr>
        <w:pStyle w:val="Normal"/>
        <w:numPr>
          <w:ilvl w:val="0"/>
          <w:numId w:val="4"/>
        </w:numPr>
        <w:tabs>
          <w:tab w:val="left" w:pos="720" w:leader="none"/>
        </w:tabs>
        <w:ind w:hanging="360" w:start="720" w:end="0"/>
        <w:rPr>
          <w:sz w:val="24"/>
        </w:rPr>
      </w:pPr>
      <w:r>
        <w:rPr>
          <w:sz w:val="24"/>
        </w:rPr>
        <w:t>Who will maintain Broker margin responsibilities?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decimal"/>
      <w:lvlText w:val="%1."/>
      <w:lvlJc w:val="start"/>
      <w:pPr>
        <w:tabs>
          <w:tab w:val="num" w:pos="360"/>
        </w:tabs>
        <w:ind w:start="360" w:hanging="360"/>
      </w:p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2000-10-19T08:40:00Z</dcterms:created>
  <dc:creator>rshults</dc:creator>
  <dc:description/>
  <dc:language>en-CA</dc:language>
  <cp:lastModifiedBy>rshults</cp:lastModifiedBy>
  <dcterms:modified xsi:type="dcterms:W3CDTF">2000-10-19T12:27:00Z</dcterms:modified>
  <cp:revision>7</cp:revision>
  <dc:subject/>
  <dc:title>Broker Client Update</dc:title>
</cp:coreProperties>
</file>