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n-GB"/>
        </w:rPr>
      </w:pPr>
      <w:r>
        <w:rPr>
          <w:lang w:val="en-GB"/>
        </w:rPr>
        <w:t>Trading of Broadband Capacity via EnronOnline</w:t>
      </w:r>
    </w:p>
    <w:p>
      <w:pPr>
        <w:pStyle w:val="Normal"/>
        <w:jc w:val="center"/>
        <w:rPr>
          <w:lang w:val="en-GB"/>
        </w:rPr>
      </w:pPr>
      <w:r>
        <w:rPr>
          <w:lang w:val="en-GB"/>
        </w:rPr>
      </w:r>
    </w:p>
    <w:p>
      <w:pPr>
        <w:pStyle w:val="BodyText2"/>
        <w:rPr>
          <w:b/>
          <w:bCs/>
        </w:rPr>
      </w:pPr>
      <w:r>
        <w:rPr>
          <w:b/>
          <w:bCs/>
        </w:rPr>
        <w:t>Introduction</w:t>
      </w:r>
    </w:p>
    <w:p>
      <w:pPr>
        <w:pStyle w:val="BodyText2"/>
        <w:rPr>
          <w:b/>
          <w:bCs/>
        </w:rPr>
      </w:pPr>
      <w:r>
        <w:rPr>
          <w:b/>
          <w:bCs/>
        </w:rPr>
      </w:r>
    </w:p>
    <w:p>
      <w:pPr>
        <w:pStyle w:val="BodyText2"/>
        <w:rPr/>
      </w:pPr>
      <w:r>
        <w:rPr/>
        <w:t>Enron intends to enter into transactions with third parties for the sale and purchase of specified quantities of Bandwidth capacity. All transactions will involve the physical delivery of Bandwidth capacity, and will be concluded via EnronOnline, its trading website.</w:t>
      </w:r>
    </w:p>
    <w:p>
      <w:pPr>
        <w:pStyle w:val="BodyText2"/>
        <w:rPr/>
      </w:pPr>
      <w:r>
        <w:rPr/>
      </w:r>
    </w:p>
    <w:p>
      <w:pPr>
        <w:pStyle w:val="BodyText2"/>
        <w:ind w:start="720" w:end="0"/>
        <w:rPr>
          <w:i/>
          <w:i/>
          <w:iCs/>
        </w:rPr>
      </w:pPr>
      <w:r>
        <w:rPr>
          <w:i/>
          <w:iCs/>
        </w:rPr>
        <w:t>“</w:t>
      </w:r>
      <w:r>
        <w:rPr>
          <w:i/>
          <w:iCs/>
        </w:rPr>
        <w:t xml:space="preserve">Bandwidth” means the capacity measured in Mbps (million bits per second), of an electronically continuous path (by way of fiber optic or other forms of circuits) between two geographical points, which is designed for the electrical transfer of a signal, message or other form of data from and between such locations. It can also be expressed in terms of the media used, such as a fibre with a certain capacity. </w:t>
      </w:r>
    </w:p>
    <w:p>
      <w:pPr>
        <w:pStyle w:val="BodyText2"/>
        <w:rPr>
          <w:i/>
          <w:i/>
          <w:iCs/>
        </w:rPr>
      </w:pPr>
      <w:r>
        <w:rPr>
          <w:i/>
          <w:iCs/>
        </w:rPr>
      </w:r>
    </w:p>
    <w:p>
      <w:pPr>
        <w:pStyle w:val="BodyText2"/>
        <w:rPr/>
      </w:pPr>
      <w:r>
        <w:rPr/>
        <w:t>The Enron entity to each transaction will be a UK company known as Enron Broadband Services Marketing Limited.</w:t>
      </w:r>
    </w:p>
    <w:p>
      <w:pPr>
        <w:pStyle w:val="Normal"/>
        <w:jc w:val="both"/>
        <w:rPr>
          <w:sz w:val="20"/>
          <w:lang w:val="en-GB"/>
        </w:rPr>
      </w:pPr>
      <w:r>
        <w:rPr>
          <w:sz w:val="20"/>
          <w:lang w:val="en-GB"/>
        </w:rPr>
      </w:r>
    </w:p>
    <w:p>
      <w:pPr>
        <w:pStyle w:val="BodyText"/>
        <w:jc w:val="both"/>
        <w:rPr>
          <w:b/>
          <w:bCs/>
        </w:rPr>
      </w:pPr>
      <w:r>
        <w:rPr>
          <w:b/>
          <w:bCs/>
        </w:rPr>
        <w:t>Further Questions</w:t>
      </w:r>
    </w:p>
    <w:p>
      <w:pPr>
        <w:pStyle w:val="BodyText"/>
        <w:jc w:val="both"/>
        <w:rPr>
          <w:b/>
          <w:bCs/>
        </w:rPr>
      </w:pPr>
      <w:r>
        <w:rPr>
          <w:b/>
          <w:bCs/>
        </w:rPr>
      </w:r>
    </w:p>
    <w:p>
      <w:pPr>
        <w:pStyle w:val="BodyText"/>
        <w:numPr>
          <w:ilvl w:val="0"/>
          <w:numId w:val="1"/>
        </w:numPr>
        <w:jc w:val="both"/>
        <w:rPr/>
      </w:pPr>
      <w:r>
        <w:rPr/>
        <w:t>Does your previous advice given in relation to the physical trading of commodities in your jurisdiction also apply to transactions where the underlying commodity is Bandwidth capacity?</w:t>
      </w:r>
    </w:p>
    <w:p>
      <w:pPr>
        <w:pStyle w:val="BodyText"/>
        <w:numPr>
          <w:ilvl w:val="0"/>
          <w:numId w:val="1"/>
        </w:numPr>
        <w:jc w:val="both"/>
        <w:rPr/>
      </w:pPr>
      <w:r>
        <w:rPr/>
        <w:t>Are there are any legal or regulatory issues which arise solely with respect to such Bandwidth capacity transactions?</w:t>
      </w:r>
    </w:p>
    <w:p>
      <w:pPr>
        <w:pStyle w:val="BodyText"/>
        <w:numPr>
          <w:ilvl w:val="0"/>
          <w:numId w:val="1"/>
        </w:numPr>
        <w:jc w:val="both"/>
        <w:rPr/>
      </w:pPr>
      <w:r>
        <w:rPr/>
        <w:t>Are there any local licensing issues or requirements (e.g. of a telecommunications nature) which arise solely with respect to such Bandwidth capacity transactions. (For this purpose, note that the path between the two geographical points, as referred to in the definition above, may or may not be located within your jurisdiction).</w:t>
      </w:r>
    </w:p>
    <w:p>
      <w:pPr>
        <w:pStyle w:val="BodyText"/>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0"/>
      <w:lang w:val="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2001-01-18T12:28:00Z</dcterms:created>
  <dc:creator>ibrungs</dc:creator>
  <dc:description/>
  <dc:language>en-CA</dc:language>
  <cp:lastModifiedBy>ibrungs</cp:lastModifiedBy>
  <cp:lastPrinted>2001-01-18T14:33:00Z</cp:lastPrinted>
  <dcterms:modified xsi:type="dcterms:W3CDTF">2001-01-18T12:28:00Z</dcterms:modified>
  <cp:revision>2</cp:revision>
  <dc:subject/>
  <dc:title>BROADBAND SERVICES ONLINE PRODUCTS</dc:title>
</cp:coreProperties>
</file>