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endnotes.xml" ContentType="application/vnd.openxmlformats-officedocument.wordprocessingml.end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Normal"/>
        <w:jc w:val="center"/>
        <w:rPr>
          <w:sz w:val="24"/>
        </w:rPr>
      </w:pPr>
      <w:r>
        <w:rPr>
          <w:sz w:val="24"/>
        </w:rPr>
        <w:t xml:space="preserve">EMTA TEMPLATE TERMS </w:t>
      </w:r>
    </w:p>
    <w:p>
      <w:pPr>
        <w:pStyle w:val="Normal"/>
        <w:jc w:val="center"/>
        <w:rPr>
          <w:sz w:val="24"/>
        </w:rPr>
      </w:pPr>
      <w:r>
        <w:rPr>
          <w:sz w:val="24"/>
        </w:rPr>
        <w:t>for</w:t>
      </w:r>
    </w:p>
    <w:p>
      <w:pPr>
        <w:pStyle w:val="Normal"/>
        <w:jc w:val="center"/>
        <w:rPr>
          <w:sz w:val="24"/>
        </w:rPr>
      </w:pPr>
      <w:r>
        <w:rPr>
          <w:sz w:val="24"/>
        </w:rPr>
        <w:t>BRL Non-Deliverable FX Transaction</w:t>
      </w:r>
    </w:p>
    <w:p>
      <w:pPr>
        <w:pStyle w:val="Normal"/>
        <w:jc w:val="center"/>
        <w:rPr>
          <w:sz w:val="24"/>
        </w:rPr>
      </w:pPr>
      <w:r>
        <w:rPr>
          <w:sz w:val="24"/>
        </w:rPr>
      </w:r>
    </w:p>
    <w:tbl>
      <w:tblPr>
        <w:tblW w:w="8856" w:type="dxa"/>
        <w:jc w:val="start"/>
        <w:tblInd w:w="198"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General Terms:</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4"/>
              </w:rPr>
            </w:pPr>
            <w:r>
              <w:rPr>
                <w:b/>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20" w:end="0"/>
              <w:jc w:val="both"/>
              <w:rPr>
                <w:sz w:val="24"/>
              </w:rPr>
            </w:pPr>
            <w:r>
              <w:rPr>
                <w:sz w:val="24"/>
              </w:rPr>
              <w:t>Trade Date:</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20" w:end="0"/>
              <w:jc w:val="both"/>
              <w:rPr/>
            </w:pPr>
            <w:r>
              <w:rPr>
                <w:sz w:val="24"/>
              </w:rPr>
              <w:t>[Date of Annex A]</w:t>
            </w:r>
            <w:r>
              <w:rPr>
                <w:rStyle w:val="EndnoteCharacters"/>
                <w:rStyle w:val="EndnoteReference"/>
                <w:sz w:val="24"/>
              </w:rPr>
              <w:endnoteReference w:id="2"/>
            </w:r>
            <w:r>
              <w:rPr>
                <w:sz w:val="24"/>
              </w:rPr>
              <w:t>:</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20" w:end="0"/>
              <w:jc w:val="both"/>
              <w:rPr>
                <w:sz w:val="24"/>
              </w:rPr>
            </w:pPr>
            <w:r>
              <w:rPr>
                <w:sz w:val="24"/>
              </w:rPr>
              <w:t>Reference Currency:</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Brazilian Real (BRL)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20" w:end="0"/>
              <w:jc w:val="both"/>
              <w:rPr/>
            </w:pPr>
            <w:r>
              <w:rPr>
                <w:sz w:val="24"/>
              </w:rPr>
              <w:t>[Notional Amount]</w:t>
            </w:r>
            <w:r>
              <w:rPr>
                <w:rStyle w:val="FootnoteCharacters"/>
                <w:sz w:val="24"/>
              </w:rPr>
              <w:t xml:space="preserve"> </w:t>
            </w:r>
            <w:r>
              <w:rPr>
                <w:rStyle w:val="EndnoteCharacters"/>
                <w:rStyle w:val="EndnoteReference"/>
                <w:sz w:val="24"/>
              </w:rPr>
              <w:endnoteReference w:customMarkFollows="1" w:id="3"/>
              <w:t>2</w:t>
            </w:r>
            <w:r>
              <w:rPr>
                <w:sz w:val="24"/>
              </w:rPr>
              <w:t>:</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02" w:end="0"/>
              <w:jc w:val="both"/>
              <w:rPr/>
            </w:pPr>
            <w:r>
              <w:rPr>
                <w:sz w:val="24"/>
              </w:rPr>
              <w:t>[Forward Rate]</w:t>
            </w:r>
            <w:r>
              <w:rPr>
                <w:sz w:val="24"/>
                <w:vertAlign w:val="superscript"/>
              </w:rPr>
              <w:t>2</w:t>
            </w:r>
            <w:r>
              <w:rPr>
                <w:sz w:val="24"/>
              </w:rPr>
              <w:t>:</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02" w:end="0"/>
              <w:jc w:val="both"/>
              <w:rPr/>
            </w:pPr>
            <w:r>
              <w:rPr>
                <w:sz w:val="24"/>
              </w:rPr>
              <w:t>[Reference Currency Notional Amount]</w:t>
            </w:r>
            <w:r>
              <w:rPr>
                <w:sz w:val="24"/>
                <w:vertAlign w:val="superscript"/>
              </w:rPr>
              <w:t xml:space="preserve"> 2</w:t>
            </w:r>
            <w:r>
              <w:rPr>
                <w:sz w:val="24"/>
              </w:rPr>
              <w:t>:</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02" w:end="0"/>
              <w:jc w:val="both"/>
              <w:rPr>
                <w:sz w:val="24"/>
              </w:rPr>
            </w:pPr>
            <w:r>
              <w:rPr>
                <w:sz w:val="24"/>
              </w:rPr>
              <w:t>Reference Currency Buyer:</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02" w:end="0"/>
              <w:jc w:val="both"/>
              <w:rPr>
                <w:sz w:val="24"/>
              </w:rPr>
            </w:pPr>
            <w:r>
              <w:rPr>
                <w:sz w:val="24"/>
              </w:rPr>
              <w:t>Reference Currency Seller:</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02" w:end="0"/>
              <w:jc w:val="both"/>
              <w:rPr>
                <w:sz w:val="24"/>
              </w:rPr>
            </w:pPr>
            <w:r>
              <w:rPr>
                <w:sz w:val="24"/>
              </w:rPr>
              <w:t>Settlement Currency:</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U.S. Dollars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02" w:end="0"/>
              <w:jc w:val="both"/>
              <w:rPr/>
            </w:pPr>
            <w:r>
              <w:rPr>
                <w:sz w:val="24"/>
              </w:rPr>
              <w:t>Settlement Date</w:t>
            </w:r>
            <w:r>
              <w:rPr>
                <w:rStyle w:val="EndnoteCharacters"/>
                <w:rStyle w:val="EndnoteReference"/>
                <w:sz w:val="24"/>
              </w:rPr>
              <w:endnoteReference w:customMarkFollows="1" w:id="4"/>
              <w:t>4</w:t>
            </w:r>
            <w:r>
              <w:rPr>
                <w:sz w:val="24"/>
              </w:rPr>
              <w:t>:</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02" w:end="0"/>
              <w:jc w:val="both"/>
              <w:rPr>
                <w:sz w:val="24"/>
              </w:rPr>
            </w:pPr>
            <w:r>
              <w:rPr>
                <w:sz w:val="24"/>
              </w:rPr>
              <w:t>Settlement:</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Non-Deliverable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02" w:end="0"/>
              <w:jc w:val="both"/>
              <w:rPr>
                <w:sz w:val="24"/>
              </w:rPr>
            </w:pPr>
            <w:r>
              <w:rPr>
                <w:sz w:val="24"/>
              </w:rPr>
              <w:t>Settlement Rate Option:</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BRL PTAX (BRL09)</w:t>
            </w:r>
            <w:r>
              <w:rPr>
                <w:rStyle w:val="EndnoteCharacters"/>
                <w:rStyle w:val="EndnoteReference"/>
                <w:sz w:val="24"/>
              </w:rPr>
              <w:endnoteReference w:customMarkFollows="1" w:id="5"/>
              <w:t>3</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ind w:start="702" w:end="0"/>
              <w:jc w:val="both"/>
              <w:rPr/>
            </w:pPr>
            <w:r>
              <w:rPr>
                <w:sz w:val="24"/>
              </w:rPr>
              <w:t>Valuation Date</w:t>
            </w:r>
            <w:r>
              <w:rPr>
                <w:rStyle w:val="EndnoteCharacters"/>
                <w:rStyle w:val="EndnoteReference"/>
                <w:sz w:val="24"/>
              </w:rPr>
              <w:endnoteReference w:customMarkFollows="1" w:id="6"/>
              <w:t>5</w:t>
            </w:r>
            <w:r>
              <w:rPr>
                <w:sz w:val="24"/>
              </w:rPr>
              <w:t>:</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Applicable Disruption Events:</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4"/>
              </w:rPr>
            </w:pPr>
            <w:r>
              <w:rPr>
                <w:b/>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2"/>
              <w:rPr/>
            </w:pPr>
            <w:r>
              <w:rPr/>
              <w:t>Price Source Disruption:</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Applicable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both"/>
              <w:rPr>
                <w:b/>
                <w:sz w:val="24"/>
              </w:rPr>
            </w:pPr>
            <w:r>
              <w:rPr>
                <w:b/>
                <w:sz w:val="24"/>
              </w:rPr>
              <w:t>Applicable Disruption Fallbacks:</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4"/>
              </w:rPr>
            </w:pPr>
            <w:r>
              <w:rPr>
                <w:b/>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2"/>
              <w:rPr/>
            </w:pPr>
            <w:r>
              <w:rPr/>
              <w:t>Fallback Reference Price:</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BRL Industry Survey Rate (BRL11)</w:t>
            </w:r>
            <w:r>
              <w:rPr>
                <w:rStyle w:val="EndnoteCharacters"/>
                <w:rStyle w:val="EndnoteReference"/>
                <w:sz w:val="24"/>
              </w:rPr>
              <w:endnoteReference w:customMarkFollows="1" w:id="7"/>
              <w:t>6</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2"/>
              <w:rPr/>
            </w:pPr>
            <w:r>
              <w:rPr/>
              <w:t>Calculation Agent Determination of Settlement Rate:</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4"/>
              </w:rPr>
            </w:pPr>
            <w:r>
              <w:rPr>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2"/>
              <w:ind w:start="0" w:end="0"/>
              <w:rPr>
                <w:b/>
              </w:rPr>
            </w:pPr>
            <w:r>
              <w:rPr>
                <w:b/>
              </w:rPr>
              <w:t>Other Terms:</w:t>
            </w:r>
          </w:p>
        </w:tc>
        <w:tc>
          <w:tcPr>
            <w:tcW w:w="442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4"/>
              </w:rPr>
            </w:pPr>
            <w:r>
              <w:rPr>
                <w:b/>
                <w:sz w:val="24"/>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2"/>
              <w:rPr/>
            </w:pPr>
            <w:r>
              <w:rPr/>
              <w:t>Calculation Agents:</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Party A and Party B</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2"/>
              <w:rPr/>
            </w:pPr>
            <w:r>
              <w:rPr/>
              <w:t>Relevant City for Business Day for Valuation Date:</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São Paulo, Brasilia or Rio de Janeiro</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2"/>
              <w:rPr/>
            </w:pPr>
            <w:r>
              <w:rPr/>
              <w:t>Relevant City for Business Day for Settlement Date:</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sz w:val="24"/>
              </w:rPr>
            </w:pPr>
            <w:r>
              <w:rPr>
                <w:sz w:val="24"/>
              </w:rPr>
              <w:t>New York City</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2"/>
              <w:rPr/>
            </w:pPr>
            <w:r>
              <w:rPr/>
              <w:t>Business Day Convention for Unscheduled Holiday on Valuation Date:</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both"/>
              <w:rPr/>
            </w:pPr>
            <w:r>
              <w:rPr>
                <w:sz w:val="24"/>
              </w:rPr>
              <w:t>Preceding Business Day if notice as of opening of the market in the local market on the Business Day preceding such holiday (Settlement Date does not change); Following Business Day if no notice as of opening of the market in the local market on the Business Day preceding such holiday (Settlement Date may change</w:t>
            </w:r>
            <w:r>
              <w:rPr>
                <w:rStyle w:val="EndnoteCharacters"/>
                <w:rStyle w:val="EndnoteReference"/>
                <w:sz w:val="24"/>
              </w:rPr>
              <w:endnoteReference w:customMarkFollows="1" w:id="8"/>
              <w:t>7</w:t>
            </w:r>
            <w:r>
              <w:rPr>
                <w:sz w:val="24"/>
              </w:rPr>
              <w:t>)</w:t>
            </w:r>
          </w:p>
          <w:p>
            <w:pPr>
              <w:pStyle w:val="Normal"/>
              <w:jc w:val="both"/>
              <w:rPr>
                <w:sz w:val="24"/>
              </w:rPr>
            </w:pPr>
            <w:r>
              <w:rPr>
                <w:sz w:val="24"/>
              </w:rPr>
            </w:r>
          </w:p>
        </w:tc>
      </w:tr>
    </w:tbl>
    <w:p>
      <w:pPr>
        <w:sectPr>
          <w:headerReference w:type="default" r:id="rId2"/>
          <w:headerReference w:type="first" r:id="rId3"/>
          <w:footerReference w:type="default" r:id="rId4"/>
          <w:footerReference w:type="first" r:id="rId5"/>
          <w:endnotePr>
            <w:pos w:val="sectEnd"/>
            <w:numFmt w:val="decimal"/>
            <w:numStart w:val="7"/>
          </w:endnotePr>
          <w:type w:val="nextPage"/>
          <w:pgSz w:w="12240" w:h="15840"/>
          <w:pgMar w:left="1440" w:right="1440" w:gutter="0" w:header="720" w:top="776" w:footer="720" w:bottom="776"/>
          <w:pgNumType w:start="1" w:fmt="decimal"/>
          <w:formProt w:val="false"/>
          <w:titlePg/>
          <w:textDirection w:val="lrTb"/>
          <w:docGrid w:type="default" w:linePitch="360" w:charSpace="0"/>
        </w:sectPr>
      </w:pP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sz w:val="28"/>
        </w:rPr>
      </w:pPr>
      <w:r>
        <w:rPr>
          <w:sz w:val="28"/>
        </w:rPr>
        <w:t>ENDNOTES</w:t>
      </w:r>
    </w:p>
    <w:p>
      <w:pPr>
        <w:pStyle w:val="Normal"/>
        <w:jc w:val="both"/>
        <w:rPr>
          <w:sz w:val="28"/>
        </w:rPr>
      </w:pPr>
      <w:r>
        <w:rPr>
          <w:sz w:val="28"/>
        </w:rPr>
      </w:r>
    </w:p>
    <w:p>
      <w:pPr>
        <w:pStyle w:val="Normal"/>
        <w:jc w:val="both"/>
        <w:rPr>
          <w:sz w:val="28"/>
        </w:rPr>
      </w:pPr>
      <w:r>
        <w:rPr>
          <w:sz w:val="28"/>
        </w:rPr>
      </w:r>
    </w:p>
    <w:sectPr>
      <w:headerReference w:type="default" r:id="rId6"/>
      <w:headerReference w:type="first" r:id="rId7"/>
      <w:footerReference w:type="default" r:id="rId8"/>
      <w:footerReference w:type="first" r:id="rId9"/>
      <w:endnotePr>
        <w:pos w:val="sectEnd"/>
        <w:numFmt w:val="decimal"/>
        <w:numStart w:val="7"/>
      </w:endnotePr>
      <w:type w:val="nextPage"/>
      <w:pgSz w:w="12240" w:h="15840"/>
      <w:pgMar w:left="1440" w:right="1440" w:gutter="0" w:header="720" w:top="776" w:footer="720" w:bottom="776"/>
      <w:pgNumType w:start="1"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sz w:val="24"/>
        </w:rPr>
      </w:pPr>
      <w:r>
        <w:rPr>
          <w:rStyle w:val="EndnoteCharacters"/>
        </w:rPr>
        <w:endnoteRef/>
      </w:r>
      <w:r>
        <w:rPr>
          <w:sz w:val="24"/>
        </w:rPr>
      </w:r>
    </w:p>
    <w:p>
      <w:pPr>
        <w:pStyle w:val="EndnoteText"/>
        <w:ind w:hanging="720" w:start="720" w:end="0"/>
        <w:jc w:val="both"/>
        <w:rPr/>
      </w:pPr>
      <w:r>
        <w:rPr>
          <w:rStyle w:val="EndnoteCharacters"/>
          <w:sz w:val="24"/>
        </w:rPr>
        <w:t>1</w:t>
      </w:r>
      <w:r>
        <w:rPr>
          <w:sz w:val="24"/>
        </w:rPr>
        <w:tab/>
        <w:t>Only include if parties wish to modify the presumption that Annex A is incorporated as amended through the Trade Date.</w:t>
      </w:r>
    </w:p>
    <w:p>
      <w:pPr>
        <w:pStyle w:val="EndnoteText"/>
        <w:ind w:hanging="720" w:start="720" w:end="0"/>
        <w:jc w:val="both"/>
        <w:rPr>
          <w:sz w:val="24"/>
        </w:rPr>
      </w:pPr>
      <w:r>
        <w:rPr>
          <w:sz w:val="24"/>
        </w:rPr>
      </w:r>
    </w:p>
    <w:p>
      <w:pPr>
        <w:pStyle w:val="EndnoteText"/>
        <w:ind w:hanging="720" w:start="720" w:end="0"/>
        <w:jc w:val="both"/>
        <w:rPr/>
      </w:pPr>
      <w:r>
        <w:rPr>
          <w:rStyle w:val="EndnoteCharacters"/>
          <w:sz w:val="24"/>
        </w:rPr>
        <w:t>2</w:t>
      </w:r>
      <w:r>
        <w:rPr>
          <w:sz w:val="24"/>
        </w:rPr>
        <w:tab/>
        <w:t>Parties must specify either (a) a Notional Amount and a Reference Currency Notional Amount or (b) a Forward Rate and either a Notional Amount or a Reference Currency Notional Amount.</w:t>
      </w:r>
    </w:p>
    <w:p>
      <w:pPr>
        <w:pStyle w:val="EndnoteText"/>
        <w:ind w:hanging="720" w:start="720" w:end="0"/>
        <w:jc w:val="both"/>
        <w:rPr>
          <w:sz w:val="24"/>
        </w:rPr>
      </w:pPr>
      <w:r>
        <w:rPr>
          <w:sz w:val="24"/>
        </w:rPr>
      </w:r>
    </w:p>
    <w:p>
      <w:pPr>
        <w:pStyle w:val="EndnoteText"/>
        <w:ind w:hanging="720" w:start="720" w:end="0"/>
        <w:jc w:val="both"/>
        <w:rPr/>
      </w:pPr>
      <w:r>
        <w:rPr>
          <w:rStyle w:val="EndnoteCharacters"/>
          <w:sz w:val="24"/>
        </w:rPr>
        <w:t>3</w:t>
      </w:r>
      <w:r>
        <w:rPr>
          <w:sz w:val="24"/>
        </w:rPr>
        <w:tab/>
        <w:t>The BRL PTAX Rate is published as of 8:30 PM São Paulo time on the Rate Calculation Date.</w:t>
      </w:r>
    </w:p>
    <w:p>
      <w:pPr>
        <w:pStyle w:val="EndnoteText"/>
        <w:jc w:val="both"/>
        <w:rPr>
          <w:sz w:val="24"/>
        </w:rPr>
      </w:pPr>
      <w:r>
        <w:rPr>
          <w:sz w:val="24"/>
        </w:rPr>
      </w:r>
    </w:p>
    <w:p>
      <w:pPr>
        <w:pStyle w:val="EndnoteText"/>
        <w:jc w:val="both"/>
        <w:rPr/>
      </w:pPr>
      <w:r>
        <w:rPr>
          <w:rStyle w:val="EndnoteCharacters"/>
          <w:sz w:val="24"/>
        </w:rPr>
        <w:t>4</w:t>
      </w:r>
      <w:r>
        <w:rPr>
          <w:sz w:val="24"/>
        </w:rPr>
        <w:tab/>
        <w:t>A date certain must be specified for Settlement Date.</w:t>
      </w:r>
    </w:p>
    <w:p>
      <w:pPr>
        <w:pStyle w:val="EndnoteText"/>
        <w:jc w:val="both"/>
        <w:rPr>
          <w:sz w:val="24"/>
        </w:rPr>
      </w:pPr>
      <w:r>
        <w:rPr>
          <w:sz w:val="24"/>
        </w:rPr>
      </w:r>
    </w:p>
    <w:p>
      <w:pPr>
        <w:pStyle w:val="EndnoteText"/>
        <w:jc w:val="both"/>
        <w:rPr/>
      </w:pPr>
      <w:r>
        <w:rPr>
          <w:rStyle w:val="EndnoteCharacters"/>
          <w:sz w:val="24"/>
        </w:rPr>
        <w:t>5</w:t>
      </w:r>
      <w:r>
        <w:rPr>
          <w:sz w:val="24"/>
        </w:rPr>
        <w:tab/>
        <w:t>A date certain must be specified for Valuation Date.</w:t>
      </w:r>
    </w:p>
  </w:endnote>
  <w:endnote w:id="3">
    <w:p>
      <w:pPr>
        <w:pStyle w:val="EndnoteText"/>
        <w:ind w:hanging="720" w:start="720" w:end="0"/>
        <w:jc w:val="both"/>
        <w:rPr>
          <w:sz w:val="24"/>
        </w:rPr>
      </w:pPr>
      <w:r>
        <w:rPr>
          <w:rStyle w:val="EndnoteCharacters"/>
        </w:rPr>
        <w:t>2</w:t>
      </w:r>
      <w:r>
        <w:rPr>
          <w:sz w:val="24"/>
        </w:rPr>
      </w:r>
    </w:p>
  </w:endnote>
  <w:endnote w:id="4">
    <w:p>
      <w:pPr>
        <w:pStyle w:val="EndnoteText"/>
        <w:ind w:hanging="720" w:start="720" w:end="0"/>
        <w:jc w:val="both"/>
        <w:rPr/>
      </w:pPr>
      <w:r>
        <w:rPr>
          <w:rStyle w:val="EndnoteCharacters"/>
        </w:rPr>
        <w:t>4</w:t>
      </w:r>
      <w:r>
        <w:rPr>
          <w:rStyle w:val="EndnoteCharacters"/>
          <w:sz w:val="24"/>
        </w:rPr>
        <w:t>6</w:t>
      </w:r>
      <w:r>
        <w:rPr>
          <w:sz w:val="24"/>
        </w:rPr>
        <w:tab/>
        <w:t xml:space="preserve">“BRL Industry Survey Rate” or “BRL11”  each means that the Spot Rate for a Rate Calculation Date will be the Brazilian Real/U.S. Dollar offered rate for U.S. Dollars, expressed as the amount of Brazilian Reais per one U.S. Dollar, for settlement in two Business Days, which is calculated by the Chicago Mercantile Exchange pursuant to the BRL Methodology, and which appears on the Reuters Screen EMTA page at approximately 12:30 PM São Paulo time, or as soon thereafter as practicable, on the Business Day following the Rate Calculation Date.  “BRL Methodology” as used herein means the methodology dated November 8, 1999 establishing a centralized industry-wide survey of financial institutions in Brazil that are active participants in the Brazilian Real/U.S. Dollar spot market for the purpose of determining the BRL Industry Survey Rate. </w:t>
      </w:r>
    </w:p>
  </w:endnote>
  <w:endnote w:id="5">
    <w:p>
      <w:pPr>
        <w:pStyle w:val="EndnoteText"/>
        <w:jc w:val="both"/>
        <w:rPr>
          <w:sz w:val="24"/>
        </w:rPr>
      </w:pPr>
      <w:r>
        <w:rPr>
          <w:rStyle w:val="EndnoteCharacters"/>
        </w:rPr>
        <w:t>3</w:t>
      </w:r>
      <w:r>
        <w:rPr>
          <w:sz w:val="24"/>
        </w:rPr>
      </w:r>
    </w:p>
  </w:endnote>
  <w:endnote w:id="6">
    <w:p>
      <w:pPr>
        <w:pStyle w:val="EndnoteText"/>
        <w:ind w:hanging="720" w:start="720" w:end="0"/>
        <w:jc w:val="both"/>
        <w:rPr/>
      </w:pPr>
      <w:r>
        <w:rPr>
          <w:rStyle w:val="EndnoteCharacters"/>
        </w:rPr>
        <w:t>5</w:t>
      </w:r>
      <w:r>
        <w:rPr>
          <w:rStyle w:val="EndnoteCharacters"/>
          <w:sz w:val="24"/>
        </w:rPr>
        <w:t>7</w:t>
      </w:r>
      <w:r>
        <w:rPr>
          <w:sz w:val="24"/>
        </w:rPr>
        <w:tab/>
        <w:t xml:space="preserve">Settlement should occur as soon as practicable after the re-scheduled Valuation Date. </w:t>
      </w:r>
    </w:p>
    <w:p>
      <w:pPr>
        <w:pStyle w:val="EndnoteText"/>
        <w:jc w:val="both"/>
        <w:rPr>
          <w:sz w:val="24"/>
        </w:rPr>
      </w:pPr>
      <w:r>
        <w:rPr>
          <w:sz w:val="24"/>
        </w:rPr>
      </w:r>
    </w:p>
  </w:endnote>
  <w:endnote w:id="7">
    <w:p>
      <w:pPr>
        <w:pStyle w:val="EndnoteText"/>
        <w:rPr/>
      </w:pPr>
      <w:r>
        <w:rPr>
          <w:rStyle w:val="EndnoteCharacters"/>
        </w:rPr>
        <w:t>6</w:t>
      </w:r>
      <w:r>
        <w:rPr/>
      </w:r>
    </w:p>
  </w:endnote>
  <w:endnote w:id="8">
    <w:p>
      <w:pPr>
        <w:pStyle w:val="EndnoteText"/>
        <w:jc w:val="both"/>
        <w:rPr>
          <w:sz w:val="24"/>
        </w:rPr>
      </w:pPr>
      <w:r>
        <w:rPr>
          <w:rStyle w:val="EndnoteCharacters"/>
        </w:rPr>
        <w:t>7</w:t>
      </w:r>
      <w:r>
        <w:rPr>
          <w:sz w:val="24"/>
        </w:rPr>
      </w:r>
    </w:p>
    <w:p>
      <w:pPr>
        <w:pStyle w:val="EndnoteText"/>
        <w:jc w:val="both"/>
        <w:rPr>
          <w:sz w:val="24"/>
        </w:rPr>
      </w:pPr>
      <w:r>
        <w:rPr>
          <w:sz w:val="24"/>
        </w:rPr>
      </w:r>
    </w:p>
    <w:p>
      <w:pPr>
        <w:pStyle w:val="EndnoteText"/>
        <w:ind w:hanging="720" w:start="720" w:end="0"/>
        <w:jc w:val="both"/>
        <w:rPr>
          <w:sz w:val="24"/>
        </w:rPr>
      </w:pPr>
      <w:r>
        <w:rPr>
          <w:sz w:val="24"/>
        </w:rPr>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svc/brltmfin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svc/brltmfin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FINAL DRAFT</w:t>
    </w:r>
  </w:p>
  <w:p>
    <w:pPr>
      <w:pStyle w:val="Header"/>
      <w:rPr/>
    </w:pPr>
    <w:r>
      <w:rPr/>
      <w:tab/>
      <w:tab/>
      <w:t>November 8,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FINAL DRAFT</w:t>
    </w:r>
  </w:p>
  <w:p>
    <w:pPr>
      <w:pStyle w:val="Header"/>
      <w:rPr/>
    </w:pPr>
    <w:r>
      <w:rPr/>
      <w:tab/>
      <w:tab/>
      <w:t>November 8, 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numStart w:val="7"/>
    <w:endnote w:id="0"/>
    <w:endnote w:id="1"/>
  </w:end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702" w:end="0"/>
      <w:jc w:val="both"/>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 w:val="left" w:pos="6480" w:leader="none"/>
      </w:tabs>
      <w:ind w:hanging="0" w:start="72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endnotes" Target="end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1999-11-08T14:02:00Z</dcterms:created>
  <dc:creator>Starla Cohen</dc:creator>
  <dc:description/>
  <dc:language>en-CA</dc:language>
  <cp:lastModifiedBy>Felita Tate</cp:lastModifiedBy>
  <cp:lastPrinted>1999-11-08T13:34:00Z</cp:lastPrinted>
  <dcterms:modified xsi:type="dcterms:W3CDTF">1999-11-08T16:13:00Z</dcterms:modified>
  <cp:revision>7</cp:revision>
  <dc:subject/>
  <dc:title>Standard form of Confirmation for</dc:title>
</cp:coreProperties>
</file>