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left" w:pos="-720" w:leader="none"/>
          <w:tab w:val="left" w:pos="1440" w:leader="none"/>
        </w:tabs>
        <w:suppressAutoHyphens w:val="false"/>
        <w:ind w:hanging="0" w:start="0"/>
        <w:rPr>
          <w:rFonts w:ascii="Times New Roman" w:hAnsi="Times New Roman" w:cs="Times New Roman"/>
          <w:b/>
          <w:lang w:val="en-GB"/>
        </w:rPr>
      </w:pPr>
      <w:r>
        <w:rPr>
          <w:rFonts w:cs="Times New Roman" w:ascii="Times New Roman" w:hAnsi="Times New Roman"/>
          <w:b/>
          <w:lang w:val="en-GB"/>
        </w:rPr>
      </w:r>
    </w:p>
    <w:p>
      <w:pPr>
        <w:pStyle w:val="Heading3"/>
        <w:tabs>
          <w:tab w:val="left" w:pos="-720" w:leader="none"/>
          <w:tab w:val="left" w:pos="1440" w:leader="none"/>
        </w:tabs>
        <w:suppressAutoHyphens w:val="false"/>
        <w:ind w:hanging="0" w:start="0"/>
        <w:rPr>
          <w:rFonts w:ascii="Times New Roman" w:hAnsi="Times New Roman" w:cs="Times New Roman"/>
          <w:b/>
          <w:lang w:val="en-GB"/>
        </w:rPr>
      </w:pPr>
      <w:r>
        <w:rPr>
          <w:rFonts w:cs="Times New Roman" w:ascii="Times New Roman" w:hAnsi="Times New Roman"/>
          <w:b/>
          <w:lang w:val="en-GB"/>
        </w:rPr>
        <w:t>BRL Methodology Summary</w:t>
      </w:r>
    </w:p>
    <w:p>
      <w:pPr>
        <w:pStyle w:val="Normal"/>
        <w:tabs>
          <w:tab w:val="clear" w:pos="720"/>
          <w:tab w:val="left" w:pos="1440" w:leader="none"/>
        </w:tabs>
        <w:jc w:val="both"/>
        <w:rPr>
          <w:rFonts w:ascii="Times New Roman" w:hAnsi="Times New Roman" w:cs="Times New Roman"/>
          <w:b/>
          <w:spacing w:val="-3"/>
          <w:sz w:val="24"/>
          <w:lang w:val="en-GB"/>
        </w:rPr>
      </w:pPr>
      <w:r>
        <w:rPr>
          <w:rFonts w:cs="Times New Roman" w:ascii="Times New Roman" w:hAnsi="Times New Roman"/>
          <w:b/>
          <w:spacing w:val="-3"/>
          <w:sz w:val="24"/>
          <w:lang w:val="en-GB"/>
        </w:rPr>
      </w:r>
    </w:p>
    <w:p>
      <w:pPr>
        <w:pStyle w:val="Normal"/>
        <w:tabs>
          <w:tab w:val="clear" w:pos="720"/>
          <w:tab w:val="left" w:pos="1440" w:leader="none"/>
        </w:tabs>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0"/>
          <w:tab w:val="clear" w:pos="720"/>
          <w:tab w:val="left" w:pos="-720" w:leader="none"/>
          <w:tab w:val="left" w:pos="1440" w:leader="none"/>
        </w:tabs>
        <w:ind w:start="0" w:end="0"/>
        <w:rPr>
          <w:rFonts w:ascii="Times New Roman" w:hAnsi="Times New Roman" w:cs="Times New Roman"/>
          <w:sz w:val="24"/>
        </w:rPr>
      </w:pPr>
      <w:r>
        <w:rPr>
          <w:rFonts w:cs="Times New Roman" w:ascii="Times New Roman" w:hAnsi="Times New Roman"/>
          <w:sz w:val="24"/>
        </w:rPr>
        <w:t>Capitalized terms used herein are defined in the BRL Methodology, a copy of which is attached.</w:t>
      </w:r>
    </w:p>
    <w:p>
      <w:pPr>
        <w:pStyle w:val="BodyTextIndent2"/>
        <w:tabs>
          <w:tab w:val="clear" w:pos="0"/>
          <w:tab w:val="clear" w:pos="720"/>
          <w:tab w:val="left" w:pos="-720" w:leader="none"/>
          <w:tab w:val="left" w:pos="1440" w:leader="none"/>
        </w:tabs>
        <w:ind w:start="0" w:end="0"/>
        <w:rPr>
          <w:rFonts w:ascii="Times New Roman" w:hAnsi="Times New Roman" w:cs="Times New Roman"/>
          <w:sz w:val="24"/>
        </w:rPr>
      </w:pPr>
      <w:r>
        <w:rPr>
          <w:rFonts w:cs="Times New Roman" w:ascii="Times New Roman" w:hAnsi="Times New Roman"/>
          <w:sz w:val="24"/>
        </w:rPr>
      </w:r>
    </w:p>
    <w:p>
      <w:pPr>
        <w:pStyle w:val="BodyTextIndent3"/>
        <w:tabs>
          <w:tab w:val="clear" w:pos="0"/>
          <w:tab w:val="left" w:pos="-720" w:leader="none"/>
          <w:tab w:val="left" w:pos="720" w:leader="none"/>
        </w:tabs>
        <w:ind w:hanging="0" w:start="0" w:end="0"/>
        <w:rPr>
          <w:rFonts w:ascii="Times New Roman" w:hAnsi="Times New Roman" w:cs="Times New Roman"/>
        </w:rPr>
      </w:pPr>
      <w:r>
        <w:rPr>
          <w:rFonts w:cs="Times New Roman" w:ascii="Times New Roman" w:hAnsi="Times New Roman"/>
        </w:rPr>
        <w:t>I.</w:t>
        <w:tab/>
      </w:r>
      <w:r>
        <w:rPr>
          <w:rFonts w:cs="Times New Roman" w:ascii="Times New Roman" w:hAnsi="Times New Roman"/>
          <w:u w:val="single"/>
        </w:rPr>
        <w:t>PTAX Rate Not Available—No Prior Notice</w:t>
      </w:r>
    </w:p>
    <w:p>
      <w:pPr>
        <w:pStyle w:val="BodyTextIndent3"/>
        <w:tabs>
          <w:tab w:val="clear" w:pos="0"/>
          <w:tab w:val="left" w:pos="-720" w:leader="none"/>
          <w:tab w:val="left" w:pos="720" w:leader="none"/>
          <w:tab w:val="left" w:pos="1440" w:leader="none"/>
        </w:tabs>
        <w:ind w:hanging="0" w:start="0" w:end="0"/>
        <w:rPr>
          <w:rFonts w:ascii="Times New Roman" w:hAnsi="Times New Roman" w:cs="Times New Roman"/>
          <w:u w:val="single"/>
        </w:rPr>
      </w:pPr>
      <w:r>
        <w:rPr>
          <w:rFonts w:cs="Times New Roman" w:ascii="Times New Roman" w:hAnsi="Times New Roman"/>
          <w:u w:val="single"/>
        </w:rPr>
      </w:r>
    </w:p>
    <w:p>
      <w:pPr>
        <w:pStyle w:val="BodyTextIndent3"/>
        <w:tabs>
          <w:tab w:val="clear" w:pos="0"/>
          <w:tab w:val="left" w:pos="-810" w:leader="none"/>
          <w:tab w:val="left" w:pos="-720" w:leader="none"/>
        </w:tabs>
        <w:ind w:hanging="720" w:start="720" w:end="0"/>
        <w:rPr>
          <w:rFonts w:ascii="Times New Roman" w:hAnsi="Times New Roman" w:cs="Times New Roman"/>
          <w:u w:val="single"/>
        </w:rPr>
      </w:pPr>
      <w:r>
        <w:rPr>
          <w:rFonts w:cs="Times New Roman" w:ascii="Times New Roman" w:hAnsi="Times New Roman"/>
        </w:rPr>
        <w:tab/>
        <w:t>EMTA and/or the NDF Advisory Group shall request that the Clearing House conduct a survey of financial institutions on the Business Day following the Rate Calculation Date for the purpose of determining the BRL Industry Survey Rate for such Rate Calculation Date.</w:t>
      </w:r>
    </w:p>
    <w:p>
      <w:pPr>
        <w:pStyle w:val="BodyTextIndent3"/>
        <w:tabs>
          <w:tab w:val="clear" w:pos="0"/>
          <w:tab w:val="left" w:pos="-810" w:leader="none"/>
          <w:tab w:val="left" w:pos="-720" w:leader="none"/>
        </w:tabs>
        <w:ind w:hanging="0" w:start="0" w:end="0"/>
        <w:rPr>
          <w:rFonts w:ascii="Times New Roman" w:hAnsi="Times New Roman" w:cs="Times New Roman"/>
          <w:u w:val="single"/>
        </w:rPr>
      </w:pPr>
      <w:r>
        <w:rPr>
          <w:rFonts w:cs="Times New Roman" w:ascii="Times New Roman" w:hAnsi="Times New Roman"/>
          <w:u w:val="single"/>
        </w:rPr>
      </w:r>
    </w:p>
    <w:p>
      <w:pPr>
        <w:pStyle w:val="BodyTextIndent3"/>
        <w:numPr>
          <w:ilvl w:val="0"/>
          <w:numId w:val="6"/>
        </w:numPr>
        <w:tabs>
          <w:tab w:val="clear" w:pos="0"/>
          <w:tab w:val="left" w:pos="-810" w:leader="none"/>
          <w:tab w:val="left" w:pos="-720" w:leader="none"/>
          <w:tab w:val="left" w:pos="1080" w:leader="none"/>
        </w:tabs>
        <w:ind w:hanging="360" w:start="1080" w:end="0"/>
        <w:rPr>
          <w:rFonts w:ascii="Times New Roman" w:hAnsi="Times New Roman" w:cs="Times New Roman"/>
        </w:rPr>
      </w:pPr>
      <w:r>
        <w:rPr>
          <w:rFonts w:cs="Times New Roman" w:ascii="Times New Roman" w:hAnsi="Times New Roman"/>
        </w:rPr>
        <w:t>The Clearing House shall survey no less than 12 financial institutions that are active participants in the Brazilian Real/U.S. Dollar spot market beginning at approximately 11:00 AM São Paulo time, or as soon thereafter as practicable, on the Business Day following the Rate Calculation Date.  (See III below for “Use of Survey Results”.)</w:t>
      </w:r>
    </w:p>
    <w:p>
      <w:pPr>
        <w:pStyle w:val="BodyTextIndent3"/>
        <w:tabs>
          <w:tab w:val="clear" w:pos="0"/>
          <w:tab w:val="left" w:pos="-810" w:leader="none"/>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3"/>
        <w:numPr>
          <w:ilvl w:val="0"/>
          <w:numId w:val="9"/>
        </w:numPr>
        <w:tabs>
          <w:tab w:val="clear" w:pos="0"/>
          <w:tab w:val="left" w:pos="-810" w:leader="none"/>
          <w:tab w:val="left" w:pos="-720" w:leader="none"/>
          <w:tab w:val="left" w:pos="1080" w:leader="none"/>
        </w:tabs>
        <w:ind w:hanging="360" w:start="1080" w:end="0"/>
        <w:rPr>
          <w:rFonts w:ascii="Times New Roman" w:hAnsi="Times New Roman" w:cs="Times New Roman"/>
          <w:b/>
        </w:rPr>
      </w:pPr>
      <w:r>
        <w:rPr>
          <w:rFonts w:cs="Times New Roman" w:ascii="Times New Roman" w:hAnsi="Times New Roman"/>
        </w:rPr>
        <w:t>Each survey participant will be asked to provide its view of what the PTAX Rate (as defined below) would have been had it been published the previous day, based upon such participant’s knowledge of the Brazilian Real/U.S. Dollar spot market and activity therein during the previous trading day.  “PTAX Rate” as used herein shall mean the U.S. Dollar offer (Brazilian Real bid) rate, expressed as the number of Brazilian Reais per one U.S. Dollar, calculated by the Central Bank of Brazil for transaction code PTAX800, option 5.</w:t>
      </w:r>
    </w:p>
    <w:p>
      <w:pPr>
        <w:pStyle w:val="BodyTextIndent3"/>
        <w:tabs>
          <w:tab w:val="clear" w:pos="0"/>
          <w:tab w:val="left" w:pos="-810" w:leader="none"/>
          <w:tab w:val="left" w:pos="-720" w:leader="none"/>
        </w:tabs>
        <w:ind w:hanging="810" w:end="0"/>
        <w:rPr>
          <w:rFonts w:ascii="Times New Roman" w:hAnsi="Times New Roman" w:cs="Times New Roman"/>
          <w:b/>
        </w:rPr>
      </w:pPr>
      <w:r>
        <w:rPr>
          <w:rFonts w:cs="Times New Roman" w:ascii="Times New Roman" w:hAnsi="Times New Roman"/>
          <w:b/>
        </w:rPr>
      </w:r>
    </w:p>
    <w:p>
      <w:pPr>
        <w:pStyle w:val="BodyTextIndent3"/>
        <w:tabs>
          <w:tab w:val="clear" w:pos="0"/>
          <w:tab w:val="left" w:pos="-720" w:leader="none"/>
          <w:tab w:val="left" w:pos="720" w:leader="none"/>
        </w:tabs>
        <w:ind w:hanging="0" w:start="0" w:end="0"/>
        <w:rPr/>
      </w:pPr>
      <w:r>
        <w:rPr>
          <w:rFonts w:cs="Times New Roman" w:ascii="Times New Roman" w:hAnsi="Times New Roman"/>
        </w:rPr>
        <w:t>II.</w:t>
        <w:tab/>
      </w:r>
      <w:r>
        <w:rPr>
          <w:rFonts w:cs="Times New Roman" w:ascii="Times New Roman" w:hAnsi="Times New Roman"/>
          <w:u w:val="single"/>
        </w:rPr>
        <w:t>PTAX Rate Not Available—Prior Notice</w:t>
      </w:r>
    </w:p>
    <w:p>
      <w:pPr>
        <w:pStyle w:val="BodyTextIndent3"/>
        <w:tabs>
          <w:tab w:val="clear" w:pos="0"/>
          <w:tab w:val="left" w:pos="-720" w:leader="none"/>
          <w:tab w:val="left" w:pos="1440" w:leader="none"/>
        </w:tabs>
        <w:ind w:hanging="0" w:start="0" w:end="0"/>
        <w:rPr>
          <w:rFonts w:ascii="Times New Roman" w:hAnsi="Times New Roman" w:cs="Times New Roman"/>
          <w:u w:val="single"/>
        </w:rPr>
      </w:pPr>
      <w:r>
        <w:rPr>
          <w:rFonts w:cs="Times New Roman" w:ascii="Times New Roman" w:hAnsi="Times New Roman"/>
          <w:u w:val="single"/>
        </w:rPr>
      </w:r>
    </w:p>
    <w:p>
      <w:pPr>
        <w:pStyle w:val="BodyTextIndent3"/>
        <w:tabs>
          <w:tab w:val="clear" w:pos="0"/>
          <w:tab w:val="left" w:pos="-810" w:leader="none"/>
          <w:tab w:val="left" w:pos="-720" w:leader="none"/>
        </w:tabs>
        <w:ind w:hanging="0" w:start="720" w:end="0"/>
        <w:rPr>
          <w:rFonts w:ascii="Times New Roman" w:hAnsi="Times New Roman" w:cs="Times New Roman"/>
          <w:u w:val="single"/>
        </w:rPr>
      </w:pPr>
      <w:r>
        <w:rPr>
          <w:rFonts w:cs="Times New Roman" w:ascii="Times New Roman" w:hAnsi="Times New Roman"/>
        </w:rPr>
        <w:t>EMTA and/or the NDF Advisory Group shall request that the Clearing House conduct a survey of financial institutions after the close of the trading day on such Rate Calculation Date for the purpose of determining the BRL Industry Survey Rate for such Rate Calculation Date.</w:t>
      </w:r>
    </w:p>
    <w:p>
      <w:pPr>
        <w:pStyle w:val="BodyTextIndent3"/>
        <w:tabs>
          <w:tab w:val="clear" w:pos="0"/>
          <w:tab w:val="left" w:pos="-810" w:leader="none"/>
          <w:tab w:val="left" w:pos="-720" w:leader="none"/>
        </w:tabs>
        <w:ind w:hanging="0" w:start="0" w:end="0"/>
        <w:rPr>
          <w:rFonts w:ascii="Times New Roman" w:hAnsi="Times New Roman" w:cs="Times New Roman"/>
          <w:u w:val="single"/>
        </w:rPr>
      </w:pPr>
      <w:r>
        <w:rPr>
          <w:rFonts w:cs="Times New Roman" w:ascii="Times New Roman" w:hAnsi="Times New Roman"/>
          <w:u w:val="single"/>
        </w:rPr>
      </w:r>
    </w:p>
    <w:p>
      <w:pPr>
        <w:pStyle w:val="BodyTextIndent3"/>
        <w:numPr>
          <w:ilvl w:val="0"/>
          <w:numId w:val="5"/>
        </w:numPr>
        <w:tabs>
          <w:tab w:val="clear" w:pos="0"/>
          <w:tab w:val="left" w:pos="-810" w:leader="none"/>
          <w:tab w:val="left" w:pos="-720" w:leader="none"/>
          <w:tab w:val="left" w:pos="1080" w:leader="none"/>
        </w:tabs>
        <w:ind w:hanging="360" w:start="1080" w:end="0"/>
        <w:rPr>
          <w:rFonts w:ascii="Times New Roman" w:hAnsi="Times New Roman" w:cs="Times New Roman"/>
        </w:rPr>
      </w:pPr>
      <w:r>
        <w:rPr>
          <w:rFonts w:cs="Times New Roman" w:ascii="Times New Roman" w:hAnsi="Times New Roman"/>
        </w:rPr>
        <w:t>The Clearing House shall survey no less than 12 financial institutions that are active participants in the Brazilian Real/U.S. Dollar spot market beginning at approximately 6:00 PM São Paulo time, or as soon thereafter as practicable, on the Rate Calculation Date (the "6:00 PM Survey"). (See III below for “Use of Survey Results”.)</w:t>
      </w:r>
    </w:p>
    <w:p>
      <w:pPr>
        <w:pStyle w:val="BodyTextIndent3"/>
        <w:tabs>
          <w:tab w:val="clear" w:pos="0"/>
          <w:tab w:val="left" w:pos="-810" w:leader="none"/>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3"/>
        <w:numPr>
          <w:ilvl w:val="0"/>
          <w:numId w:val="7"/>
        </w:numPr>
        <w:tabs>
          <w:tab w:val="clear" w:pos="0"/>
          <w:tab w:val="left" w:pos="-810" w:leader="none"/>
          <w:tab w:val="left" w:pos="-720" w:leader="none"/>
          <w:tab w:val="left" w:pos="1080" w:leader="none"/>
        </w:tabs>
        <w:ind w:hanging="360" w:start="1080" w:end="0"/>
        <w:rPr>
          <w:rFonts w:ascii="Times New Roman" w:hAnsi="Times New Roman" w:cs="Times New Roman"/>
          <w:b/>
        </w:rPr>
      </w:pPr>
      <w:r>
        <w:rPr>
          <w:rFonts w:cs="Times New Roman" w:ascii="Times New Roman" w:hAnsi="Times New Roman"/>
        </w:rPr>
        <w:t>Each survey participant will be asked to provide its view of what the PTAX Rate would be were it to be published on that trading day, based upon such participant’s knowledge of the Brazilian Real/U.S. Dollar spot market and activity therein during the current trading day.</w:t>
      </w:r>
    </w:p>
    <w:p>
      <w:pPr>
        <w:pStyle w:val="BodyTextIndent3"/>
        <w:tabs>
          <w:tab w:val="clear" w:pos="0"/>
          <w:tab w:val="left" w:pos="-810" w:leader="none"/>
          <w:tab w:val="left" w:pos="-720" w:leader="none"/>
        </w:tabs>
        <w:ind w:hanging="0" w:start="0" w:end="0"/>
        <w:rPr>
          <w:rFonts w:ascii="Times New Roman" w:hAnsi="Times New Roman" w:cs="Times New Roman"/>
          <w:b/>
          <w:u w:val="single"/>
        </w:rPr>
      </w:pPr>
      <w:r>
        <w:rPr>
          <w:rFonts w:cs="Times New Roman" w:ascii="Times New Roman" w:hAnsi="Times New Roman"/>
          <w:b/>
          <w:u w:val="single"/>
        </w:rPr>
      </w:r>
    </w:p>
    <w:p>
      <w:pPr>
        <w:pStyle w:val="BodyTextIndent3"/>
        <w:numPr>
          <w:ilvl w:val="0"/>
          <w:numId w:val="3"/>
        </w:numPr>
        <w:tabs>
          <w:tab w:val="clear" w:pos="0"/>
          <w:tab w:val="left" w:pos="-810" w:leader="none"/>
          <w:tab w:val="left" w:pos="-720" w:leader="none"/>
          <w:tab w:val="left" w:pos="1080" w:leader="none"/>
        </w:tabs>
        <w:ind w:hanging="360" w:start="1080" w:end="0"/>
        <w:rPr>
          <w:rFonts w:ascii="Times New Roman" w:hAnsi="Times New Roman" w:cs="Times New Roman"/>
          <w:u w:val="single"/>
        </w:rPr>
      </w:pPr>
      <w:r>
        <w:rPr>
          <w:rFonts w:cs="Times New Roman" w:ascii="Times New Roman" w:hAnsi="Times New Roman"/>
        </w:rPr>
        <w:t>If less than 3 responses are obtained from the 6:00 PM Survey, EMTA will notify market participants that Insufficient Responses were obtained.  Subsequently, EMTA and/or the NDF Advisory Group may request that the Clearing House conduct a survey of financial institutions on the Business Day following such Rate Calculation Date for the purpose of determining the BRL Industry Survey Rate for such Rate Calculation Date.  In this case, the procedures set forth in I above will apply.</w:t>
      </w:r>
    </w:p>
    <w:p>
      <w:pPr>
        <w:pStyle w:val="BodyTextIndent3"/>
        <w:tabs>
          <w:tab w:val="clear" w:pos="0"/>
          <w:tab w:val="left" w:pos="-810" w:leader="none"/>
          <w:tab w:val="left" w:pos="-720" w:leader="none"/>
        </w:tabs>
        <w:ind w:hanging="0" w:start="0" w:end="0"/>
        <w:rPr>
          <w:rFonts w:ascii="Times New Roman" w:hAnsi="Times New Roman" w:cs="Times New Roman"/>
          <w:u w:val="single"/>
        </w:rPr>
      </w:pPr>
      <w:r>
        <w:rPr>
          <w:rFonts w:cs="Times New Roman" w:ascii="Times New Roman" w:hAnsi="Times New Roman"/>
          <w:u w:val="single"/>
        </w:rPr>
      </w:r>
    </w:p>
    <w:p>
      <w:pPr>
        <w:pStyle w:val="BodyTextIndent3"/>
        <w:tabs>
          <w:tab w:val="clear" w:pos="0"/>
          <w:tab w:val="left" w:pos="-810" w:leader="none"/>
          <w:tab w:val="left" w:pos="-720" w:leader="none"/>
        </w:tabs>
        <w:ind w:hanging="810" w:end="0"/>
        <w:rPr>
          <w:rFonts w:ascii="Times New Roman" w:hAnsi="Times New Roman" w:cs="Times New Roman"/>
        </w:rPr>
      </w:pPr>
      <w:r>
        <w:rPr>
          <w:rFonts w:cs="Times New Roman" w:ascii="Times New Roman" w:hAnsi="Times New Roman"/>
        </w:rPr>
        <w:t>III.</w:t>
        <w:tab/>
      </w:r>
      <w:r>
        <w:rPr>
          <w:rFonts w:cs="Times New Roman" w:ascii="Times New Roman" w:hAnsi="Times New Roman"/>
          <w:u w:val="single"/>
        </w:rPr>
        <w:t>Use of Survey Results</w:t>
      </w:r>
    </w:p>
    <w:p>
      <w:pPr>
        <w:pStyle w:val="BodyText"/>
        <w:tabs>
          <w:tab w:val="left" w:pos="-720" w:leader="none"/>
          <w:tab w:val="left" w:pos="1440" w:leader="none"/>
        </w:tabs>
        <w:rPr>
          <w:rFonts w:ascii="Times New Roman" w:hAnsi="Times New Roman" w:cs="Times New Roman"/>
          <w:sz w:val="24"/>
        </w:rPr>
      </w:pPr>
      <w:r>
        <w:rPr>
          <w:rFonts w:cs="Times New Roman" w:ascii="Times New Roman" w:hAnsi="Times New Roman"/>
          <w:sz w:val="24"/>
        </w:rPr>
      </w:r>
    </w:p>
    <w:p>
      <w:pPr>
        <w:pStyle w:val="BodyText"/>
        <w:numPr>
          <w:ilvl w:val="0"/>
          <w:numId w:val="8"/>
        </w:numPr>
        <w:tabs>
          <w:tab w:val="left" w:pos="-720" w:leader="none"/>
          <w:tab w:val="left" w:pos="1170" w:leader="none"/>
        </w:tabs>
        <w:ind w:hanging="360" w:start="1170" w:end="0"/>
        <w:rPr>
          <w:rFonts w:ascii="Times New Roman" w:hAnsi="Times New Roman" w:cs="Times New Roman"/>
          <w:sz w:val="24"/>
        </w:rPr>
      </w:pPr>
      <w:r>
        <w:rPr>
          <w:rFonts w:cs="Times New Roman" w:ascii="Times New Roman" w:hAnsi="Times New Roman"/>
          <w:sz w:val="24"/>
        </w:rPr>
        <w:t>If 8 or more responses are obtained, the 2 highest and 2 lowest rates will be eliminated, and the arithmetic mean of the remaining 8, 7, 6, 5 or 4 rates, as appropriate, shall be computed and will constitute the BRL Industry Survey Rate for such Rate Calculation Date.</w:t>
      </w:r>
    </w:p>
    <w:p>
      <w:pPr>
        <w:pStyle w:val="BodyText"/>
        <w:rPr>
          <w:rFonts w:ascii="Times New Roman" w:hAnsi="Times New Roman" w:cs="Times New Roman"/>
          <w:sz w:val="24"/>
        </w:rPr>
      </w:pPr>
      <w:r>
        <w:rPr>
          <w:rFonts w:cs="Times New Roman" w:ascii="Times New Roman" w:hAnsi="Times New Roman"/>
          <w:sz w:val="24"/>
        </w:rPr>
      </w:r>
    </w:p>
    <w:p>
      <w:pPr>
        <w:pStyle w:val="BodyText"/>
        <w:numPr>
          <w:ilvl w:val="0"/>
          <w:numId w:val="8"/>
        </w:numPr>
        <w:tabs>
          <w:tab w:val="left" w:pos="-720" w:leader="none"/>
          <w:tab w:val="left" w:pos="1170" w:leader="none"/>
          <w:tab w:val="left" w:pos="1440" w:leader="none"/>
        </w:tabs>
        <w:ind w:hanging="360" w:start="1170" w:end="0"/>
        <w:rPr>
          <w:rFonts w:ascii="Times New Roman" w:hAnsi="Times New Roman" w:cs="Times New Roman"/>
          <w:sz w:val="24"/>
        </w:rPr>
      </w:pPr>
      <w:r>
        <w:rPr>
          <w:rFonts w:cs="Times New Roman" w:ascii="Times New Roman" w:hAnsi="Times New Roman"/>
          <w:sz w:val="24"/>
        </w:rPr>
        <w:t>If less than 8, but at least 4, responses are obtained, the lowest and highest of such rates will be eliminated, and the arithmetic mean of the remaining 2, 3, 4 or 5 rates, as appropriate, shall be computed and will constitute the BRL Industry Survey Rate for such Rate Calculation Date.</w:t>
      </w:r>
    </w:p>
    <w:p>
      <w:pPr>
        <w:pStyle w:val="BodyText"/>
        <w:tabs>
          <w:tab w:val="left" w:pos="-720" w:leader="none"/>
          <w:tab w:val="left" w:pos="1440" w:leader="none"/>
        </w:tabs>
        <w:rPr>
          <w:rFonts w:ascii="Times New Roman" w:hAnsi="Times New Roman" w:cs="Times New Roman"/>
          <w:sz w:val="24"/>
        </w:rPr>
      </w:pPr>
      <w:r>
        <w:rPr>
          <w:rFonts w:cs="Times New Roman" w:ascii="Times New Roman" w:hAnsi="Times New Roman"/>
          <w:sz w:val="24"/>
        </w:rPr>
      </w:r>
    </w:p>
    <w:p>
      <w:pPr>
        <w:pStyle w:val="BodyText"/>
        <w:numPr>
          <w:ilvl w:val="0"/>
          <w:numId w:val="2"/>
        </w:numPr>
        <w:tabs>
          <w:tab w:val="left" w:pos="-720" w:leader="none"/>
          <w:tab w:val="left" w:pos="810" w:leader="none"/>
          <w:tab w:val="left" w:pos="1080" w:leader="none"/>
        </w:tabs>
        <w:ind w:hanging="360" w:start="1080" w:end="0"/>
        <w:rPr>
          <w:rFonts w:ascii="Times New Roman" w:hAnsi="Times New Roman" w:cs="Times New Roman"/>
          <w:sz w:val="24"/>
        </w:rPr>
      </w:pPr>
      <w:r>
        <w:rPr>
          <w:rFonts w:cs="Times New Roman" w:ascii="Times New Roman" w:hAnsi="Times New Roman"/>
          <w:sz w:val="24"/>
        </w:rPr>
        <w:t>If only 3 responses are obtained, compute the arithmetic mean of such 3 rates shall be computed and will constitute the BRL Industry Survey Rate for such Rate Calculation Date.</w:t>
      </w:r>
    </w:p>
    <w:p>
      <w:pPr>
        <w:pStyle w:val="BodyText"/>
        <w:tabs>
          <w:tab w:val="left" w:pos="-720" w:leader="none"/>
          <w:tab w:val="left" w:pos="810" w:leader="none"/>
        </w:tabs>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810" w:leader="none"/>
        </w:tabs>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IV.</w:t>
        <w:tab/>
      </w:r>
      <w:r>
        <w:rPr>
          <w:rFonts w:cs="Times New Roman" w:ascii="Times New Roman" w:hAnsi="Times New Roman"/>
          <w:sz w:val="24"/>
          <w:u w:val="single"/>
        </w:rPr>
        <w:t>Insufficient Responses</w:t>
      </w:r>
    </w:p>
    <w:p>
      <w:pPr>
        <w:pStyle w:val="BodyText3"/>
        <w:tabs>
          <w:tab w:val="clear" w:pos="1440"/>
          <w:tab w:val="left" w:pos="720" w:leader="none"/>
        </w:tabs>
        <w:rPr>
          <w:rFonts w:ascii="Times New Roman" w:hAnsi="Times New Roman" w:cs="Times New Roman"/>
          <w:sz w:val="24"/>
        </w:rPr>
      </w:pPr>
      <w:r>
        <w:rPr>
          <w:rFonts w:cs="Times New Roman"/>
          <w:sz w:val="24"/>
        </w:rPr>
      </w:r>
    </w:p>
    <w:p>
      <w:pPr>
        <w:pStyle w:val="BodyText3"/>
        <w:numPr>
          <w:ilvl w:val="0"/>
          <w:numId w:val="4"/>
        </w:numPr>
        <w:tabs>
          <w:tab w:val="clear" w:pos="1440"/>
          <w:tab w:val="left" w:pos="810" w:leader="none"/>
          <w:tab w:val="left" w:pos="1170" w:leader="none"/>
        </w:tabs>
        <w:ind w:hanging="360" w:start="1170" w:end="0"/>
        <w:rPr/>
      </w:pPr>
      <w:r>
        <w:rPr/>
        <w:t>If less than 3 responses are obtained, no BRL Industry Survey Rate will be available for the relevant Rate Calculation Date.</w:t>
      </w:r>
    </w:p>
    <w:p>
      <w:pPr>
        <w:pStyle w:val="Normal"/>
        <w:tabs>
          <w:tab w:val="clear" w:pos="720"/>
          <w:tab w:val="left" w:pos="1440" w:leader="none"/>
        </w:tabs>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1440" w:leader="none"/>
        </w:tabs>
        <w:jc w:val="both"/>
        <w:rPr/>
      </w:pPr>
      <w:r>
        <w:rPr>
          <w:rFonts w:cs="Times New Roman" w:ascii="Times New Roman" w:hAnsi="Times New Roman"/>
          <w:spacing w:val="-3"/>
          <w:sz w:val="24"/>
        </w:rPr>
        <w:t xml:space="preserve">The BRL Industry Survey Rate will be published on the Reuters Screen EMTA Page at approximately 12:30 PM </w:t>
      </w:r>
      <w:r>
        <w:rPr>
          <w:rFonts w:cs="Times New Roman" w:ascii="Times New Roman" w:hAnsi="Times New Roman"/>
        </w:rPr>
        <w:t>São</w:t>
      </w:r>
      <w:r>
        <w:rPr>
          <w:rFonts w:cs="Times New Roman" w:ascii="Times New Roman" w:hAnsi="Times New Roman"/>
          <w:spacing w:val="-3"/>
          <w:sz w:val="24"/>
        </w:rPr>
        <w:t xml:space="preserve"> Paulo time, or as soon thereafter as practicable, on the Business Day following the Rate Calculation Date.</w:t>
      </w:r>
    </w:p>
    <w:p>
      <w:pPr>
        <w:pStyle w:val="Normal"/>
        <w:tabs>
          <w:tab w:val="clear" w:pos="720"/>
          <w:tab w:val="left" w:pos="1440" w:leader="none"/>
        </w:tabs>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pacing w:val="-3"/>
          <w:sz w:val="24"/>
        </w:rPr>
        <w:t>The CME, EMTA and the NDF Advisory Group disclaim liability for the BRL Industry Survey Rate, and no representation or warranty, express or implied, is made concerning the BRL Industry Survey Rate (including, without limitation, the methodology for its determination and its suitability for any particular use).</w:t>
      </w:r>
    </w:p>
    <w:p>
      <w:pPr>
        <w:pStyle w:val="FootnoteText"/>
        <w:tabs>
          <w:tab w:val="clear" w:pos="720"/>
          <w:tab w:val="left" w:pos="1440" w:leader="none"/>
        </w:tabs>
        <w:jc w:val="both"/>
        <w:rPr>
          <w:rFonts w:ascii="Times New Roman" w:hAnsi="Times New Roman" w:cs="Times New Roman"/>
          <w:sz w:val="24"/>
        </w:rPr>
      </w:pPr>
      <w:r>
        <w:rPr>
          <w:rFonts w:cs="Times New Roman"/>
          <w:sz w:val="24"/>
        </w:rPr>
      </w:r>
    </w:p>
    <w:p>
      <w:pPr>
        <w:pStyle w:val="Normal"/>
        <w:jc w:val="both"/>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svc/brlsmfin</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svc/brlsmfin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FINAL DRAFT</w:t>
    </w:r>
  </w:p>
  <w:p>
    <w:pPr>
      <w:pStyle w:val="Header"/>
      <w:rPr/>
    </w:pPr>
    <w:r>
      <w:rPr/>
      <w:tab/>
      <w:tab/>
      <w:t>NOVEMBER 8, 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GB" w:eastAsia="zh-CN" w:bidi="hi-IN"/>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Univers" w:hAnsi="Univers" w:cs="Univers"/>
      <w:spacing w:val="-3"/>
      <w:sz w:val="24"/>
      <w:lang w:val="en-US"/>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center"/>
      <w:outlineLvl w:val="2"/>
    </w:pPr>
    <w:rPr>
      <w:rFonts w:ascii="Univers" w:hAnsi="Univers" w:cs="Univers"/>
      <w:spacing w:val="-3"/>
      <w:sz w:val="24"/>
      <w:u w:val="single"/>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rFonts w:ascii="Univers" w:hAnsi="Univers" w:cs="Univers"/>
      <w:spacing w:val="-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rFonts w:ascii="Times New Roman" w:hAnsi="Times New Roman" w:cs="Times New Roman"/>
      <w:sz w:val="20"/>
      <w:lang w:val="en-US"/>
    </w:rPr>
  </w:style>
  <w:style w:type="paragraph" w:styleId="BodyTextIndent2">
    <w:name w:val="Body Text Indent 2"/>
    <w:basedOn w:val="Normal"/>
    <w:qFormat/>
    <w:pPr>
      <w:tabs>
        <w:tab w:val="left" w:pos="-720" w:leader="none"/>
        <w:tab w:val="left" w:pos="0" w:leader="none"/>
        <w:tab w:val="left" w:pos="720" w:leader="none"/>
      </w:tabs>
      <w:suppressAutoHyphens w:val="true"/>
      <w:ind w:hanging="0" w:start="720" w:end="0"/>
      <w:jc w:val="both"/>
    </w:pPr>
    <w:rPr>
      <w:rFonts w:ascii="Univers" w:hAnsi="Univers" w:cs="Univers"/>
      <w:spacing w:val="-3"/>
      <w:sz w:val="16"/>
      <w:lang w:val="en-US"/>
    </w:rPr>
  </w:style>
  <w:style w:type="paragraph" w:styleId="BodyTextIndent3">
    <w:name w:val="Body Text Indent 3"/>
    <w:basedOn w:val="Normal"/>
    <w:qFormat/>
    <w:pPr>
      <w:widowControl w:val="false"/>
      <w:tabs>
        <w:tab w:val="clear" w:pos="720"/>
        <w:tab w:val="left" w:pos="-720" w:leader="none"/>
        <w:tab w:val="left" w:pos="0" w:leader="none"/>
      </w:tabs>
      <w:suppressAutoHyphens w:val="true"/>
      <w:ind w:hanging="1350" w:start="810" w:end="0"/>
      <w:jc w:val="both"/>
    </w:pPr>
    <w:rPr>
      <w:rFonts w:ascii="Univers" w:hAnsi="Univers" w:cs="Univers"/>
      <w:spacing w:val="-3"/>
      <w:sz w:val="24"/>
      <w:lang w:val="en-US"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0"/>
      <w:lang w:val="en-US"/>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lang w:val="en-US"/>
    </w:rPr>
  </w:style>
  <w:style w:type="paragraph" w:styleId="BodyText2">
    <w:name w:val="Body Text 2"/>
    <w:basedOn w:val="Normal"/>
    <w:qFormat/>
    <w:pPr>
      <w:tabs>
        <w:tab w:val="clear" w:pos="720"/>
        <w:tab w:val="left" w:pos="-720" w:leader="none"/>
      </w:tabs>
      <w:suppressAutoHyphens w:val="true"/>
      <w:jc w:val="center"/>
    </w:pPr>
    <w:rPr>
      <w:rFonts w:ascii="Univers" w:hAnsi="Univers" w:cs="Univers"/>
      <w:spacing w:val="-3"/>
      <w:sz w:val="24"/>
      <w:lang w:val="en-US"/>
    </w:rPr>
  </w:style>
  <w:style w:type="paragraph" w:styleId="BodyText3">
    <w:name w:val="Body Text 3"/>
    <w:basedOn w:val="Normal"/>
    <w:qFormat/>
    <w:pPr>
      <w:tabs>
        <w:tab w:val="clear" w:pos="720"/>
        <w:tab w:val="left" w:pos="1440" w:leader="none"/>
      </w:tabs>
      <w:suppressAutoHyphens w:val="true"/>
      <w:jc w:val="both"/>
    </w:pPr>
    <w:rPr>
      <w:rFonts w:ascii="Times New Roman" w:hAnsi="Times New Roman" w:cs="Times New Roman"/>
      <w:spacing w:val="-3"/>
      <w:sz w:val="24"/>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1999-11-08T14:11:00Z</dcterms:created>
  <dc:creator>sleima</dc:creator>
  <dc:description/>
  <dc:language>en-CA</dc:language>
  <cp:lastModifiedBy>Aviva Werner</cp:lastModifiedBy>
  <cp:lastPrinted>1999-11-08T08:03:00Z</cp:lastPrinted>
  <dcterms:modified xsi:type="dcterms:W3CDTF">1999-11-08T14:57:00Z</dcterms:modified>
  <cp:revision>5</cp:revision>
  <dc:subject/>
  <dc:title/>
</cp:coreProperties>
</file>