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left" w:pos="-720" w:leader="none"/>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suppressAutoHyphens w:val="true"/>
        <w:jc w:val="center"/>
        <w:rPr>
          <w:rFonts w:ascii="Times New Roman" w:hAnsi="Times New Roman" w:cs="Times New Roman"/>
          <w:spacing w:val="-3"/>
          <w:sz w:val="24"/>
        </w:rPr>
      </w:pPr>
      <w:r>
        <w:rPr>
          <w:rFonts w:cs="Times New Roman"/>
          <w:spacing w:val="-3"/>
          <w:sz w:val="24"/>
        </w:rPr>
      </w:r>
    </w:p>
    <w:p>
      <w:pPr>
        <w:pStyle w:val="BodyText2"/>
        <w:tabs>
          <w:tab w:val="left" w:pos="-720" w:leader="none"/>
          <w:tab w:val="left" w:pos="1440" w:leader="none"/>
        </w:tabs>
        <w:rPr/>
      </w:pPr>
      <w:r>
        <w:rPr>
          <w:rFonts w:cs="Times New Roman" w:ascii="Times New Roman" w:hAnsi="Times New Roman"/>
          <w:b/>
        </w:rPr>
        <w:t>CHICAGO MERCANTILE EXCHANGE (“</w:t>
      </w:r>
      <w:r>
        <w:rPr>
          <w:rFonts w:cs="Times New Roman" w:ascii="Times New Roman" w:hAnsi="Times New Roman"/>
          <w:b/>
          <w:u w:val="single"/>
        </w:rPr>
        <w:t>CME</w:t>
      </w:r>
      <w:r>
        <w:rPr>
          <w:rFonts w:cs="Times New Roman" w:ascii="Times New Roman" w:hAnsi="Times New Roman"/>
          <w:b/>
        </w:rPr>
        <w:t>”)/EMERGING MARKETS TRADERS ASSOCIATION (“</w:t>
      </w:r>
      <w:r>
        <w:rPr>
          <w:rFonts w:cs="Times New Roman" w:ascii="Times New Roman" w:hAnsi="Times New Roman"/>
          <w:b/>
          <w:u w:val="single"/>
        </w:rPr>
        <w:t>EMTA</w:t>
      </w:r>
      <w:r>
        <w:rPr>
          <w:rFonts w:cs="Times New Roman" w:ascii="Times New Roman" w:hAnsi="Times New Roman"/>
          <w:b/>
        </w:rPr>
        <w:t>”) BRAZILIAN REAL/U.S. DOLLAR INDUSTRY SURVEY METHODOLOGY (the “</w:t>
      </w:r>
      <w:r>
        <w:rPr>
          <w:rFonts w:cs="Times New Roman" w:ascii="Times New Roman" w:hAnsi="Times New Roman"/>
          <w:b/>
          <w:u w:val="single"/>
        </w:rPr>
        <w:t>BRL METHODOLOGY</w:t>
      </w:r>
      <w:r>
        <w:rPr>
          <w:rFonts w:cs="Times New Roman" w:ascii="Times New Roman" w:hAnsi="Times New Roman"/>
          <w:b/>
        </w:rPr>
        <w:t>”)</w:t>
      </w:r>
    </w:p>
    <w:p>
      <w:pPr>
        <w:pStyle w:val="Normal"/>
        <w:tabs>
          <w:tab w:val="clear" w:pos="720"/>
          <w:tab w:val="left" w:pos="1440" w:leader="none"/>
        </w:tabs>
        <w:suppressAutoHyphens w:val="true"/>
        <w:jc w:val="center"/>
        <w:rPr>
          <w:rFonts w:ascii="Times New Roman" w:hAnsi="Times New Roman" w:cs="Times New Roman"/>
          <w:b/>
          <w:spacing w:val="-3"/>
          <w:sz w:val="24"/>
        </w:rPr>
      </w:pPr>
      <w:r>
        <w:rPr>
          <w:rFonts w:cs="Times New Roman"/>
          <w:b/>
          <w:spacing w:val="-3"/>
          <w:sz w:val="24"/>
        </w:rPr>
      </w:r>
    </w:p>
    <w:p>
      <w:pPr>
        <w:pStyle w:val="Normal"/>
        <w:tabs>
          <w:tab w:val="clear" w:pos="720"/>
          <w:tab w:val="left" w:pos="1440" w:leader="none"/>
        </w:tabs>
        <w:suppressAutoHyphens w:val="true"/>
        <w:jc w:val="both"/>
        <w:rPr>
          <w:spacing w:val="-3"/>
          <w:sz w:val="24"/>
        </w:rPr>
      </w:pPr>
      <w:r>
        <w:rPr>
          <w:spacing w:val="-3"/>
          <w:sz w:val="24"/>
        </w:rPr>
      </w:r>
    </w:p>
    <w:p>
      <w:pPr>
        <w:pStyle w:val="Heading3"/>
        <w:tabs>
          <w:tab w:val="left" w:pos="-720" w:leader="none"/>
          <w:tab w:val="left" w:pos="1440" w:leader="none"/>
        </w:tabs>
        <w:rPr>
          <w:rFonts w:ascii="Times New Roman" w:hAnsi="Times New Roman" w:cs="Times New Roman"/>
          <w:u w:val="none"/>
        </w:rPr>
      </w:pPr>
      <w:r>
        <w:rPr>
          <w:rFonts w:cs="Times New Roman" w:ascii="Times New Roman" w:hAnsi="Times New Roman"/>
        </w:rPr>
        <w:t>Background</w:t>
      </w:r>
    </w:p>
    <w:p>
      <w:pPr>
        <w:pStyle w:val="Normal"/>
        <w:tabs>
          <w:tab w:val="clear" w:pos="720"/>
          <w:tab w:val="left" w:pos="1440" w:leader="none"/>
        </w:tabs>
        <w:jc w:val="both"/>
        <w:rPr>
          <w:rFonts w:ascii="Times New Roman" w:hAnsi="Times New Roman" w:cs="Times New Roman"/>
          <w:sz w:val="24"/>
          <w:u w:val="none"/>
        </w:rPr>
      </w:pPr>
      <w:r>
        <w:rPr>
          <w:rFonts w:cs="Times New Roman"/>
          <w:sz w:val="24"/>
          <w:u w:val="none"/>
        </w:rPr>
      </w:r>
    </w:p>
    <w:p>
      <w:pPr>
        <w:pStyle w:val="BodyTextIndent2"/>
        <w:tabs>
          <w:tab w:val="clear" w:pos="0"/>
          <w:tab w:val="clear" w:pos="720"/>
          <w:tab w:val="left" w:pos="-720" w:leader="none"/>
          <w:tab w:val="left" w:pos="1440" w:leader="none"/>
        </w:tabs>
        <w:ind w:start="0" w:end="0"/>
        <w:rPr/>
      </w:pPr>
      <w:r>
        <w:rPr>
          <w:rFonts w:cs="Times New Roman" w:ascii="Times New Roman" w:hAnsi="Times New Roman"/>
          <w:sz w:val="24"/>
        </w:rPr>
        <w:t>On March 22, 1999, market participants from the over-the-counter (“</w:t>
      </w:r>
      <w:r>
        <w:rPr>
          <w:rFonts w:cs="Times New Roman" w:ascii="Times New Roman" w:hAnsi="Times New Roman"/>
          <w:sz w:val="24"/>
          <w:u w:val="single"/>
        </w:rPr>
        <w:t>OTC</w:t>
      </w:r>
      <w:r>
        <w:rPr>
          <w:rFonts w:cs="Times New Roman" w:ascii="Times New Roman" w:hAnsi="Times New Roman"/>
          <w:sz w:val="24"/>
        </w:rPr>
        <w:t>”) non-deliverable forward (“</w:t>
      </w:r>
      <w:r>
        <w:rPr>
          <w:rFonts w:cs="Times New Roman" w:ascii="Times New Roman" w:hAnsi="Times New Roman"/>
          <w:sz w:val="24"/>
          <w:u w:val="single"/>
        </w:rPr>
        <w:t>NDF</w:t>
      </w:r>
      <w:r>
        <w:rPr>
          <w:rFonts w:cs="Times New Roman" w:ascii="Times New Roman" w:hAnsi="Times New Roman"/>
          <w:sz w:val="24"/>
        </w:rPr>
        <w:t>”) Brazilian Real/U.S. Dollar market participated in a meeting to discuss a variety of issues affecting efficient development of this and other NDF markets in Latin America.  Market participants agreed that establishing a centralized industry-wide survey mechanism to determine a back-up Settlement Rate for use in settling Brazilian Real NDFs, in the event that the primary rate source (the PTAX Rate</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was not published, would greatly improve the efficiency of the Brazilian NDF market and reduce risks associated with the inability to obtain a rate source for settlement of an NDF</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w:t>
      </w:r>
    </w:p>
    <w:p>
      <w:pPr>
        <w:pStyle w:val="BodyTextIndent2"/>
        <w:tabs>
          <w:tab w:val="clear" w:pos="0"/>
          <w:tab w:val="clear" w:pos="720"/>
          <w:tab w:val="left" w:pos="-720" w:leader="none"/>
          <w:tab w:val="left" w:pos="1440" w:leader="none"/>
        </w:tabs>
        <w:ind w:start="0" w:end="0"/>
        <w:rPr>
          <w:rFonts w:ascii="Times New Roman" w:hAnsi="Times New Roman" w:cs="Times New Roman"/>
          <w:sz w:val="24"/>
        </w:rPr>
      </w:pPr>
      <w:r>
        <w:rPr>
          <w:rFonts w:cs="Times New Roman" w:ascii="Times New Roman" w:hAnsi="Times New Roman"/>
          <w:sz w:val="24"/>
        </w:rPr>
      </w:r>
    </w:p>
    <w:p>
      <w:pPr>
        <w:pStyle w:val="BodyTextIndent2"/>
        <w:tabs>
          <w:tab w:val="clear" w:pos="0"/>
          <w:tab w:val="clear" w:pos="720"/>
          <w:tab w:val="left" w:pos="-720" w:leader="none"/>
          <w:tab w:val="left" w:pos="1440" w:leader="none"/>
        </w:tabs>
        <w:ind w:start="0" w:end="0"/>
        <w:rPr/>
      </w:pPr>
      <w:r>
        <w:rPr>
          <w:rFonts w:cs="Times New Roman" w:ascii="Times New Roman" w:hAnsi="Times New Roman"/>
          <w:sz w:val="24"/>
        </w:rPr>
        <w:t>NDF market participants currently settle their contracts to the PTAX Rate published by the Central Bank of Brazil (the “</w:t>
      </w:r>
      <w:r>
        <w:rPr>
          <w:rFonts w:cs="Times New Roman" w:ascii="Times New Roman" w:hAnsi="Times New Roman"/>
          <w:sz w:val="24"/>
          <w:u w:val="single"/>
        </w:rPr>
        <w:t>Central Bank</w:t>
      </w:r>
      <w:r>
        <w:rPr>
          <w:rFonts w:cs="Times New Roman" w:ascii="Times New Roman" w:hAnsi="Times New Roman"/>
          <w:sz w:val="24"/>
        </w:rPr>
        <w:t>”)</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This is the same rate used by the CME to settle its Brazilian Real futures contracts on the last business day of the month for the Central Bank immediately preceding the next Brazilian Real contract month (the “</w:t>
      </w:r>
      <w:r>
        <w:rPr>
          <w:rFonts w:cs="Times New Roman" w:ascii="Times New Roman" w:hAnsi="Times New Roman"/>
          <w:sz w:val="24"/>
          <w:u w:val="single"/>
        </w:rPr>
        <w:t>CME BRL Futures Valuation Date</w:t>
      </w:r>
      <w:r>
        <w:rPr>
          <w:rFonts w:cs="Times New Roman" w:ascii="Times New Roman" w:hAnsi="Times New Roman"/>
          <w:sz w:val="24"/>
        </w:rPr>
        <w:t>”).  The CME submitted proposed back-up cash settlement rules for its Brazilian Real futures contract (the “</w:t>
      </w:r>
      <w:r>
        <w:rPr>
          <w:rFonts w:cs="Times New Roman" w:ascii="Times New Roman" w:hAnsi="Times New Roman"/>
          <w:sz w:val="24"/>
          <w:u w:val="single"/>
        </w:rPr>
        <w:t>CME BRL Rules</w:t>
      </w:r>
      <w:r>
        <w:rPr>
          <w:rFonts w:cs="Times New Roman" w:ascii="Times New Roman" w:hAnsi="Times New Roman"/>
          <w:sz w:val="24"/>
        </w:rPr>
        <w:t>”) to the Commodities Futures Trading Commission (the “</w:t>
      </w:r>
      <w:r>
        <w:rPr>
          <w:rFonts w:cs="Times New Roman" w:ascii="Times New Roman" w:hAnsi="Times New Roman"/>
          <w:sz w:val="24"/>
          <w:u w:val="single"/>
        </w:rPr>
        <w:t>CFTC</w:t>
      </w:r>
      <w:r>
        <w:rPr>
          <w:rFonts w:cs="Times New Roman" w:ascii="Times New Roman" w:hAnsi="Times New Roman"/>
          <w:sz w:val="24"/>
        </w:rPr>
        <w:t>”) at the end of 1998, which established procedures for conducting a survey of financial institutions inside of Brazil that are active participants in the Brazilian Real/U.S. Dollar spot market to determine a back-up cash settlement rate for use in settling the CME’s Brazilian Real futures contracts on the CME BRL Futures Valuation Date, in the event the PTAX Rate was not available.  The CME BRL Rules were reviewed by certain participants in the NDF market and slightly modified in mid-January.  On January 21, 1999 EMTA submitted a letter to the CFTC in support of the modifications to the CME BRL Rules recommended by NDF participants.  The CME BRL Rules were approved by the CFTC on January 26, 1999.</w:t>
      </w:r>
    </w:p>
    <w:p>
      <w:pPr>
        <w:pStyle w:val="BodyTextIndent2"/>
        <w:tabs>
          <w:tab w:val="clear" w:pos="0"/>
          <w:tab w:val="clear" w:pos="720"/>
          <w:tab w:val="left" w:pos="-720" w:leader="none"/>
          <w:tab w:val="left" w:pos="1440" w:leader="none"/>
        </w:tabs>
        <w:ind w:start="0" w:end="0"/>
        <w:rPr>
          <w:rFonts w:ascii="Times New Roman" w:hAnsi="Times New Roman" w:cs="Times New Roman"/>
          <w:sz w:val="24"/>
        </w:rPr>
      </w:pPr>
      <w:r>
        <w:rPr>
          <w:rFonts w:cs="Times New Roman" w:ascii="Times New Roman" w:hAnsi="Times New Roman"/>
          <w:sz w:val="24"/>
        </w:rPr>
      </w:r>
    </w:p>
    <w:p>
      <w:pPr>
        <w:pStyle w:val="BodyTextIndent2"/>
        <w:tabs>
          <w:tab w:val="clear" w:pos="0"/>
          <w:tab w:val="clear" w:pos="720"/>
          <w:tab w:val="left" w:pos="-720" w:leader="none"/>
          <w:tab w:val="left" w:pos="1440" w:leader="none"/>
        </w:tabs>
        <w:ind w:start="0" w:end="0"/>
        <w:rPr/>
      </w:pPr>
      <w:r>
        <w:rPr>
          <w:rFonts w:cs="Times New Roman" w:ascii="Times New Roman" w:hAnsi="Times New Roman"/>
          <w:sz w:val="24"/>
        </w:rPr>
        <w:t>Subsequently, NDF market participants who are active in the Brazilian Real/U.S. Dollar NDF markets (the “</w:t>
      </w:r>
      <w:r>
        <w:rPr>
          <w:rFonts w:cs="Times New Roman" w:ascii="Times New Roman" w:hAnsi="Times New Roman"/>
          <w:sz w:val="24"/>
          <w:u w:val="single"/>
        </w:rPr>
        <w:t>BRL NDF Advisory Group</w:t>
      </w:r>
      <w:r>
        <w:rPr>
          <w:rFonts w:cs="Times New Roman" w:ascii="Times New Roman" w:hAnsi="Times New Roman"/>
          <w:sz w:val="24"/>
        </w:rPr>
        <w:t>”) have analyzed in great detail the CME BRL Rules and proposed further modifications.  These modifications were approved by the CFTC on November 5, 1999.  The BRL Methodology establishing the centralized industry-wide survey mechanism to determine a back-up Settlement Rate for use in settling Brazilian Real NDFs (the “</w:t>
      </w:r>
      <w:r>
        <w:rPr>
          <w:rFonts w:cs="Times New Roman" w:ascii="Times New Roman" w:hAnsi="Times New Roman"/>
          <w:sz w:val="24"/>
          <w:u w:val="single"/>
        </w:rPr>
        <w:t>BRL Industry Survey Rate</w:t>
      </w:r>
      <w:r>
        <w:rPr>
          <w:rFonts w:cs="Times New Roman" w:ascii="Times New Roman" w:hAnsi="Times New Roman"/>
          <w:sz w:val="24"/>
        </w:rPr>
        <w:t>”) is based substantially upon the amended CME BRL Rules, and is set forth below.</w:t>
      </w:r>
    </w:p>
    <w:p>
      <w:pPr>
        <w:pStyle w:val="BodyTextIndent2"/>
        <w:tabs>
          <w:tab w:val="clear" w:pos="0"/>
          <w:tab w:val="clear" w:pos="720"/>
          <w:tab w:val="left" w:pos="-720" w:leader="none"/>
          <w:tab w:val="left" w:pos="1440" w:leader="none"/>
        </w:tabs>
        <w:ind w:start="0" w:end="0"/>
        <w:jc w:val="center"/>
        <w:rPr>
          <w:rFonts w:ascii="Times New Roman" w:hAnsi="Times New Roman" w:cs="Times New Roman"/>
          <w:sz w:val="24"/>
        </w:rPr>
      </w:pPr>
      <w:r>
        <w:rPr>
          <w:rFonts w:cs="Times New Roman" w:ascii="Times New Roman" w:hAnsi="Times New Roman"/>
          <w:sz w:val="24"/>
        </w:rPr>
      </w:r>
    </w:p>
    <w:p>
      <w:pPr>
        <w:pStyle w:val="BodyTextIndent2"/>
        <w:tabs>
          <w:tab w:val="clear" w:pos="0"/>
          <w:tab w:val="clear" w:pos="720"/>
          <w:tab w:val="left" w:pos="-720" w:leader="none"/>
          <w:tab w:val="left" w:pos="1440" w:leader="none"/>
        </w:tabs>
        <w:ind w:start="0" w:end="0"/>
        <w:jc w:val="center"/>
        <w:rPr>
          <w:rFonts w:ascii="Times New Roman" w:hAnsi="Times New Roman" w:cs="Times New Roman"/>
          <w:sz w:val="24"/>
          <w:u w:val="single"/>
        </w:rPr>
      </w:pPr>
      <w:r>
        <w:rPr>
          <w:rFonts w:cs="Times New Roman" w:ascii="Times New Roman" w:hAnsi="Times New Roman"/>
          <w:sz w:val="24"/>
          <w:u w:val="single"/>
        </w:rPr>
        <w:t>The BRL Methodology</w:t>
      </w:r>
    </w:p>
    <w:p>
      <w:pPr>
        <w:pStyle w:val="BodyTextIndent2"/>
        <w:tabs>
          <w:tab w:val="clear" w:pos="0"/>
          <w:tab w:val="clear" w:pos="720"/>
          <w:tab w:val="left" w:pos="-720" w:leader="none"/>
          <w:tab w:val="left" w:pos="1440" w:leader="none"/>
        </w:tabs>
        <w:ind w:start="0" w:end="0"/>
        <w:jc w:val="center"/>
        <w:rPr>
          <w:rFonts w:ascii="Times New Roman" w:hAnsi="Times New Roman" w:cs="Times New Roman"/>
          <w:sz w:val="24"/>
          <w:u w:val="single"/>
        </w:rPr>
      </w:pPr>
      <w:r>
        <w:rPr>
          <w:rFonts w:cs="Times New Roman" w:ascii="Times New Roman" w:hAnsi="Times New Roman"/>
          <w:sz w:val="24"/>
          <w:u w:val="single"/>
        </w:rPr>
      </w:r>
    </w:p>
    <w:p>
      <w:pPr>
        <w:pStyle w:val="BodyText3"/>
        <w:rPr/>
      </w:pPr>
      <w:r>
        <w:rPr/>
        <w:t>In the event that the PTAX Rate is not calculated by the Central Bank and/or not broadcast by SISBACEN on a Rate Calculation Date for an NDF transaction, the following shall apply, as appropriate:</w:t>
      </w:r>
    </w:p>
    <w:p>
      <w:pPr>
        <w:pStyle w:val="BodyTextIndent3"/>
        <w:tabs>
          <w:tab w:val="clear" w:pos="0"/>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720" w:leader="none"/>
          <w:tab w:val="left" w:pos="720" w:leader="none"/>
        </w:tabs>
        <w:ind w:hanging="0" w:start="0" w:end="0"/>
        <w:rPr>
          <w:rFonts w:ascii="Times New Roman" w:hAnsi="Times New Roman" w:cs="Times New Roman"/>
        </w:rPr>
      </w:pPr>
      <w:r>
        <w:rPr>
          <w:rFonts w:cs="Times New Roman" w:ascii="Times New Roman" w:hAnsi="Times New Roman"/>
        </w:rPr>
        <w:t>I.</w:t>
        <w:tab/>
      </w:r>
      <w:r>
        <w:rPr>
          <w:rFonts w:cs="Times New Roman" w:ascii="Times New Roman" w:hAnsi="Times New Roman"/>
          <w:u w:val="single"/>
        </w:rPr>
        <w:t>PTAX Rate Not Available—No Prior Notice</w:t>
      </w:r>
    </w:p>
    <w:p>
      <w:pPr>
        <w:pStyle w:val="BodyTextIndent3"/>
        <w:tabs>
          <w:tab w:val="clear" w:pos="0"/>
          <w:tab w:val="left" w:pos="-720" w:leader="none"/>
          <w:tab w:val="left" w:pos="720" w:leader="none"/>
          <w:tab w:val="left" w:pos="144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tabs>
          <w:tab w:val="clear" w:pos="0"/>
          <w:tab w:val="left" w:pos="-810" w:leader="none"/>
          <w:tab w:val="left" w:pos="-720" w:leader="none"/>
        </w:tabs>
        <w:ind w:hanging="0" w:start="0" w:end="0"/>
        <w:rPr/>
      </w:pPr>
      <w:r>
        <w:rPr>
          <w:rFonts w:cs="Times New Roman" w:ascii="Times New Roman" w:hAnsi="Times New Roman"/>
        </w:rPr>
        <w:t xml:space="preserve">If there has been </w:t>
      </w:r>
      <w:r>
        <w:rPr>
          <w:rFonts w:cs="Times New Roman" w:ascii="Times New Roman" w:hAnsi="Times New Roman"/>
          <w:u w:val="single"/>
        </w:rPr>
        <w:t>no prior notice</w:t>
      </w:r>
      <w:r>
        <w:rPr>
          <w:rFonts w:cs="Times New Roman" w:ascii="Times New Roman" w:hAnsi="Times New Roman"/>
        </w:rPr>
        <w:t xml:space="preserve"> that the PTAX Rate would not be calculated by the Central Bank and/or not broadcast by SISBACEN on such Rate Calculation Date, and EMTA and/or the BRL NDF Advisory Group requests that the CME Clearing House (the “</w:t>
      </w:r>
      <w:r>
        <w:rPr>
          <w:rFonts w:cs="Times New Roman" w:ascii="Times New Roman" w:hAnsi="Times New Roman"/>
          <w:u w:val="single"/>
        </w:rPr>
        <w:t>Clearing House</w:t>
      </w:r>
      <w:r>
        <w:rPr>
          <w:rFonts w:cs="Times New Roman" w:ascii="Times New Roman" w:hAnsi="Times New Roman"/>
        </w:rPr>
        <w:t>”) conduct a survey of financial institutions, the Clearing House shall conduct a survey of financial institutions inside of Brazil that are active participants in the Brazilian Real/U.S. Dollar spot market on the Business Day following such Rate Calculation Date for the purpose of determining the BRL Industry Survey Rate for such Rate Calculation Date.</w:t>
      </w:r>
    </w:p>
    <w:p>
      <w:pPr>
        <w:pStyle w:val="BodyTextIndent3"/>
        <w:tabs>
          <w:tab w:val="clear" w:pos="0"/>
          <w:tab w:val="left" w:pos="-720" w:leader="none"/>
          <w:tab w:val="left" w:pos="144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720" w:leader="none"/>
          <w:tab w:val="left" w:pos="1350" w:leader="none"/>
          <w:tab w:val="left" w:pos="1440" w:leader="none"/>
        </w:tabs>
        <w:ind w:hanging="0" w:start="0" w:end="0"/>
        <w:rPr/>
      </w:pPr>
      <w:r>
        <w:rPr>
          <w:rFonts w:cs="Times New Roman" w:ascii="Times New Roman" w:hAnsi="Times New Roman"/>
        </w:rPr>
        <w:t>The Clearing House shall survey no less than 12 financial institutions that are active participants in the Brazilian Real/U.S. Dollar spot market beginning at approximately 11:00 AM São Paulo time</w:t>
      </w:r>
      <w:r>
        <w:rPr>
          <w:rStyle w:val="FootnoteCharacters"/>
          <w:rStyle w:val="FootnoteReference"/>
          <w:rFonts w:cs="Times New Roman" w:ascii="Times New Roman" w:hAnsi="Times New Roman"/>
        </w:rPr>
        <w:footnoteReference w:id="5"/>
      </w:r>
      <w:r>
        <w:rPr>
          <w:rFonts w:cs="Times New Roman" w:ascii="Times New Roman" w:hAnsi="Times New Roman"/>
        </w:rPr>
        <w:t xml:space="preserve">, or as soon thereafter as practicable, on the Business Day following the Rate Calculation Date.  Each survey participant will be asked to provide its view of what the PTAX Rate would have been had it been published the previous day, based upon such participant’s knowledge of the Brazilian Real/U.S. Dollar spot market and activity therein during the previous trading day. </w:t>
      </w:r>
    </w:p>
    <w:p>
      <w:pPr>
        <w:pStyle w:val="BodyTextIndent3"/>
        <w:tabs>
          <w:tab w:val="clear" w:pos="0"/>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720" w:leader="none"/>
          <w:tab w:val="left" w:pos="720" w:leader="none"/>
        </w:tabs>
        <w:ind w:hanging="0" w:start="0" w:end="0"/>
        <w:rPr/>
      </w:pPr>
      <w:r>
        <w:rPr>
          <w:rFonts w:cs="Times New Roman" w:ascii="Times New Roman" w:hAnsi="Times New Roman"/>
        </w:rPr>
        <w:t>II.</w:t>
        <w:tab/>
      </w:r>
      <w:r>
        <w:rPr>
          <w:rFonts w:cs="Times New Roman" w:ascii="Times New Roman" w:hAnsi="Times New Roman"/>
          <w:u w:val="single"/>
        </w:rPr>
        <w:t>PTAX Rate Not Available—Prior Notice</w:t>
      </w:r>
    </w:p>
    <w:p>
      <w:pPr>
        <w:pStyle w:val="BodyTextIndent3"/>
        <w:tabs>
          <w:tab w:val="clear" w:pos="0"/>
          <w:tab w:val="left" w:pos="-720" w:leader="none"/>
          <w:tab w:val="left" w:pos="144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tabs>
          <w:tab w:val="clear" w:pos="0"/>
          <w:tab w:val="left" w:pos="-810" w:leader="none"/>
          <w:tab w:val="left" w:pos="-720" w:leader="none"/>
        </w:tabs>
        <w:ind w:hanging="0" w:start="0" w:end="0"/>
        <w:rPr/>
      </w:pPr>
      <w:r>
        <w:rPr>
          <w:rFonts w:cs="Times New Roman" w:ascii="Times New Roman" w:hAnsi="Times New Roman"/>
        </w:rPr>
        <w:t xml:space="preserve">If there is </w:t>
      </w:r>
      <w:r>
        <w:rPr>
          <w:rFonts w:cs="Times New Roman" w:ascii="Times New Roman" w:hAnsi="Times New Roman"/>
          <w:u w:val="single"/>
        </w:rPr>
        <w:t>prior notice</w:t>
      </w:r>
      <w:r>
        <w:rPr>
          <w:rFonts w:cs="Times New Roman" w:ascii="Times New Roman" w:hAnsi="Times New Roman"/>
        </w:rPr>
        <w:t xml:space="preserve"> that the PTAX Rate will not be calculated by the Central Bank and/or not broadcast by SISBACEN on a Rate Calculation Date, and EMTA and/or the BRL NDF Advisory Group requests that the Clearing House conduct a survey of financial institutions, the Clearing House shall conduct a survey of financial institutions inside of Brazil that are active participants in the Brazilian Real/U.S. Dollar spot market after the close of the trading day on such Rate Calculation Date for the purpose of determining the BRL Industry Survey Rate for such Rate Calculation Date.</w:t>
      </w:r>
      <w:r>
        <w:br w:type="page"/>
      </w:r>
    </w:p>
    <w:p>
      <w:pPr>
        <w:pStyle w:val="BodyTextIndent3"/>
        <w:tabs>
          <w:tab w:val="clear" w:pos="0"/>
          <w:tab w:val="left" w:pos="-720" w:leader="none"/>
          <w:tab w:val="left" w:pos="1440" w:leader="none"/>
        </w:tabs>
        <w:ind w:hanging="0" w:start="0" w:end="0"/>
        <w:rPr/>
      </w:pPr>
      <w:r>
        <w:rPr>
          <w:rFonts w:cs="Times New Roman" w:ascii="Times New Roman" w:hAnsi="Times New Roman"/>
        </w:rPr>
        <w:t>In this case, the Clearing House shall survey no less than 12 financial institutions that are active participants in the Brazilian Real/U.S. Dollar spot market beginning at approximately 6:00 PM São Paulo time</w:t>
      </w:r>
      <w:r>
        <w:rPr>
          <w:rStyle w:val="FootnoteCharacters"/>
          <w:rStyle w:val="FootnoteReference"/>
          <w:rFonts w:cs="Times New Roman" w:ascii="Times New Roman" w:hAnsi="Times New Roman"/>
        </w:rPr>
        <w:footnoteReference w:id="6"/>
      </w:r>
      <w:r>
        <w:rPr>
          <w:rFonts w:cs="Times New Roman" w:ascii="Times New Roman" w:hAnsi="Times New Roman"/>
        </w:rPr>
        <w:t>, or as soon thereafter as practicable, on such Rate Calculation Date (the "</w:t>
      </w:r>
      <w:r>
        <w:rPr>
          <w:rFonts w:cs="Times New Roman" w:ascii="Times New Roman" w:hAnsi="Times New Roman"/>
          <w:u w:val="single"/>
        </w:rPr>
        <w:t>6:00 PM Survey</w:t>
      </w:r>
      <w:r>
        <w:rPr>
          <w:rFonts w:cs="Times New Roman" w:ascii="Times New Roman" w:hAnsi="Times New Roman"/>
        </w:rPr>
        <w:t xml:space="preserve">").  Each survey participant will be asked to provide its view of what the PTAX Rate would be were it to be published on that trading day, based upon such participant’s knowledge of the Brazilian Real/U.S. Dollar spot market and activity therein during the current trading day. </w:t>
      </w:r>
    </w:p>
    <w:p>
      <w:pPr>
        <w:pStyle w:val="BodyTextIndent3"/>
        <w:tabs>
          <w:tab w:val="clear" w:pos="0"/>
          <w:tab w:val="left" w:pos="-720" w:leader="none"/>
          <w:tab w:val="left" w:pos="1350" w:leader="none"/>
          <w:tab w:val="left" w:pos="144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810" w:leader="none"/>
          <w:tab w:val="left" w:pos="-720" w:leader="none"/>
        </w:tabs>
        <w:ind w:hanging="0" w:start="0" w:end="0"/>
        <w:rPr>
          <w:rFonts w:ascii="Times New Roman" w:hAnsi="Times New Roman" w:cs="Times New Roman"/>
        </w:rPr>
      </w:pPr>
      <w:r>
        <w:rPr>
          <w:rFonts w:cs="Times New Roman" w:ascii="Times New Roman" w:hAnsi="Times New Roman"/>
        </w:rPr>
        <w:t>If less than 3 responses to this survey question are obtained from the 6:00 PM Survey, EMTA will notify market participants that insufficient responses were obtained.  Subsequently, EMTA and/or the BRL NDF Advisory Group may request that the Clearing House conduct a survey of financial institutions that are active participants in the Brazilian Real/U.S. Dollar spot market on the Business Day following such Rate Calculation Date for the purpose of determining the BRL Industry Survey Rate for such Rate Calculation Date.  In this case, the procedures set forth in I above will apply.</w:t>
      </w:r>
    </w:p>
    <w:p>
      <w:pPr>
        <w:pStyle w:val="BodyTextIndent3"/>
        <w:tabs>
          <w:tab w:val="clear" w:pos="0"/>
          <w:tab w:val="left" w:pos="-720" w:leader="none"/>
          <w:tab w:val="left" w:pos="1350" w:leader="none"/>
          <w:tab w:val="left" w:pos="144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720" w:leader="none"/>
          <w:tab w:val="left" w:pos="1440" w:leader="none"/>
        </w:tabs>
        <w:ind w:hanging="0" w:start="0" w:end="0"/>
        <w:jc w:val="center"/>
        <w:rPr>
          <w:rFonts w:ascii="Times New Roman" w:hAnsi="Times New Roman" w:cs="Times New Roman"/>
        </w:rPr>
      </w:pPr>
      <w:r>
        <w:rPr>
          <w:rFonts w:cs="Times New Roman" w:ascii="Times New Roman" w:hAnsi="Times New Roman"/>
        </w:rPr>
        <w:t>* * * * * *</w:t>
      </w:r>
    </w:p>
    <w:p>
      <w:pPr>
        <w:pStyle w:val="BodyTextIndent3"/>
        <w:tabs>
          <w:tab w:val="clear" w:pos="0"/>
          <w:tab w:val="left" w:pos="-720" w:leader="none"/>
          <w:tab w:val="left" w:pos="1440" w:leader="none"/>
        </w:tabs>
        <w:ind w:hanging="0" w:start="0" w:end="0"/>
        <w:rPr>
          <w:rFonts w:ascii="Times New Roman" w:hAnsi="Times New Roman" w:cs="Times New Roman"/>
        </w:rPr>
      </w:pPr>
      <w:r>
        <w:rPr>
          <w:rFonts w:cs="Times New Roman" w:ascii="Times New Roman" w:hAnsi="Times New Roman"/>
        </w:rPr>
      </w:r>
    </w:p>
    <w:p>
      <w:pPr>
        <w:pStyle w:val="BodyTextIndent3"/>
        <w:tabs>
          <w:tab w:val="clear" w:pos="0"/>
          <w:tab w:val="left" w:pos="-720" w:leader="none"/>
          <w:tab w:val="left" w:pos="1440" w:leader="none"/>
        </w:tabs>
        <w:ind w:hanging="0" w:start="0" w:end="0"/>
        <w:rPr>
          <w:rFonts w:ascii="Times New Roman" w:hAnsi="Times New Roman" w:cs="Times New Roman"/>
        </w:rPr>
      </w:pPr>
      <w:r>
        <w:rPr>
          <w:rFonts w:cs="Times New Roman" w:ascii="Times New Roman" w:hAnsi="Times New Roman"/>
        </w:rPr>
        <w:t xml:space="preserve">Before a quote is officially accepted, it must be confirmed either by telex, facsimile, or other hard-copy confirmation, or by recorded telephone message.  If for any reason there is difficulty in obtaining a quote within a reasonable time interval from one of the participants in the sample, that participant shall be dropped from the sample, and another shall be randomly selected to replace it. </w:t>
      </w:r>
    </w:p>
    <w:p>
      <w:pPr>
        <w:pStyle w:val="BodyTextIndent3"/>
        <w:tabs>
          <w:tab w:val="clear" w:pos="0"/>
          <w:tab w:val="left" w:pos="-720" w:leader="none"/>
          <w:tab w:val="left" w:pos="1440" w:leader="none"/>
        </w:tabs>
        <w:ind w:hanging="0" w:start="0" w:end="0"/>
        <w:rPr>
          <w:rFonts w:ascii="Times New Roman" w:hAnsi="Times New Roman" w:cs="Times New Roman"/>
        </w:rPr>
      </w:pPr>
      <w:r>
        <w:rPr>
          <w:rFonts w:cs="Times New Roman" w:ascii="Times New Roman" w:hAnsi="Times New Roman"/>
        </w:rPr>
      </w:r>
    </w:p>
    <w:p>
      <w:pPr>
        <w:pStyle w:val="BodyText"/>
        <w:tabs>
          <w:tab w:val="left" w:pos="-720" w:leader="none"/>
          <w:tab w:val="left" w:pos="1440" w:leader="none"/>
        </w:tabs>
        <w:rPr>
          <w:rFonts w:ascii="Times New Roman" w:hAnsi="Times New Roman" w:cs="Times New Roman"/>
          <w:sz w:val="24"/>
        </w:rPr>
      </w:pPr>
      <w:r>
        <w:rPr>
          <w:rFonts w:cs="Times New Roman" w:ascii="Times New Roman" w:hAnsi="Times New Roman"/>
          <w:sz w:val="24"/>
        </w:rPr>
        <w:t>If either of the surveys’ procedures results in 8 or more responses, the Clearing House shall eliminate the 2 highest and 2 lowest rates, and then compute the arithmetic mean of the remaining 8, 7, 6, 5 or 4 rates, as appropriate.  This number shall become the BRL Industry Survey Rate for the relevant Rate Calculation Date.</w:t>
      </w:r>
    </w:p>
    <w:p>
      <w:pPr>
        <w:pStyle w:val="BodyTextIndent3"/>
        <w:tabs>
          <w:tab w:val="clear" w:pos="0"/>
          <w:tab w:val="left" w:pos="-720" w:leader="none"/>
          <w:tab w:val="left" w:pos="1440" w:leader="none"/>
        </w:tabs>
        <w:ind w:hanging="0" w:start="0" w:end="0"/>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s>
        <w:rPr>
          <w:rFonts w:ascii="Times New Roman" w:hAnsi="Times New Roman" w:cs="Times New Roman"/>
          <w:sz w:val="24"/>
        </w:rPr>
      </w:pPr>
      <w:r>
        <w:rPr>
          <w:rFonts w:cs="Times New Roman" w:ascii="Times New Roman" w:hAnsi="Times New Roman"/>
          <w:sz w:val="24"/>
        </w:rPr>
        <w:t>If either of the surveys’ procedures results in at least 4, but less than 8, responses, the Clearing House shall eliminate the lowest and highest of such rates, and then compute the arithmetic mean of the remaining 2, 3, 4, or 5 rates, as appropriate.  This number shall become the BRL Industry Survey Rate for the relevant Rate Calculation Date.</w:t>
      </w:r>
    </w:p>
    <w:p>
      <w:pPr>
        <w:pStyle w:val="BodyText"/>
        <w:tabs>
          <w:tab w:val="left" w:pos="-720" w:leader="none"/>
          <w:tab w:val="left" w:pos="1440" w:leader="none"/>
        </w:tabs>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s>
        <w:rPr>
          <w:rFonts w:ascii="Times New Roman" w:hAnsi="Times New Roman" w:cs="Times New Roman"/>
          <w:sz w:val="24"/>
        </w:rPr>
      </w:pPr>
      <w:r>
        <w:rPr>
          <w:rFonts w:cs="Times New Roman" w:ascii="Times New Roman" w:hAnsi="Times New Roman"/>
          <w:sz w:val="24"/>
        </w:rPr>
        <w:t>If either of the surveys’ procedures results in 3 responses, the Clearing House shall compute the arithmetic mean of such 3 responses.  This number shall become the BRL Industry Survey Rate for the relevant Rate Calculation Date.</w:t>
      </w:r>
    </w:p>
    <w:p>
      <w:pPr>
        <w:pStyle w:val="Normal"/>
        <w:tabs>
          <w:tab w:val="clear" w:pos="720"/>
          <w:tab w:val="left" w:pos="1440" w:leader="none"/>
        </w:tabs>
        <w:jc w:val="both"/>
        <w:rPr>
          <w:rFonts w:ascii="Times New Roman" w:hAnsi="Times New Roman" w:cs="Times New Roman"/>
          <w:sz w:val="24"/>
        </w:rPr>
      </w:pPr>
      <w:r>
        <w:rPr>
          <w:rFonts w:cs="Times New Roman"/>
          <w:sz w:val="24"/>
        </w:rPr>
      </w:r>
    </w:p>
    <w:p>
      <w:pPr>
        <w:pStyle w:val="Normal"/>
        <w:tabs>
          <w:tab w:val="clear" w:pos="720"/>
          <w:tab w:val="left" w:pos="1440" w:leader="none"/>
        </w:tabs>
        <w:jc w:val="both"/>
        <w:rPr>
          <w:sz w:val="24"/>
        </w:rPr>
      </w:pPr>
      <w:r>
        <w:rPr>
          <w:sz w:val="24"/>
        </w:rPr>
        <w:t>If either of the surveys’ procedures results in less than 3 responses, the Clearing House will so inform EMTA, and EMTA and/or the BRL NDF Advisory Group will inform market participants that no BRL Industry Survey Rate will be published for the relevant Rate Calculation Date.</w:t>
      </w:r>
    </w:p>
    <w:p>
      <w:pPr>
        <w:pStyle w:val="Normal"/>
        <w:tabs>
          <w:tab w:val="clear" w:pos="720"/>
          <w:tab w:val="left" w:pos="1440" w:leader="none"/>
        </w:tabs>
        <w:suppressAutoHyphens w:val="true"/>
        <w:jc w:val="both"/>
        <w:rPr>
          <w:spacing w:val="-3"/>
          <w:sz w:val="24"/>
        </w:rPr>
      </w:pPr>
      <w:r>
        <w:rPr>
          <w:spacing w:val="-3"/>
          <w:sz w:val="24"/>
        </w:rPr>
      </w:r>
    </w:p>
    <w:p>
      <w:pPr>
        <w:pStyle w:val="BodyText3"/>
        <w:rPr>
          <w:u w:val="single"/>
        </w:rPr>
      </w:pPr>
      <w:r>
        <w:rPr/>
        <w:t>The results of the BRL Industry Survey Rate will be published on the Reuters Screen EMTA Page at approximately 12:30 PM, São Paulo time</w:t>
      </w:r>
      <w:r>
        <w:rPr>
          <w:rStyle w:val="FootnoteCharacters"/>
          <w:rStyle w:val="FootnoteReference"/>
        </w:rPr>
        <w:footnoteReference w:customMarkFollows="1" w:id="7"/>
        <w:t>6</w:t>
      </w:r>
      <w:r>
        <w:rPr/>
        <w:t xml:space="preserve">, or as soon thereafter as practicable, on the first Business Day following the Rate Calculation Date.  The survey procedures will also be tested periodically to ensure the credibility of the survey.  When tested, the survey results will be kept strictly confidential. </w:t>
      </w:r>
    </w:p>
    <w:p>
      <w:pPr>
        <w:pStyle w:val="Normal"/>
        <w:tabs>
          <w:tab w:val="clear" w:pos="720"/>
          <w:tab w:val="left" w:pos="1440" w:leader="none"/>
        </w:tabs>
        <w:suppressAutoHyphens w:val="true"/>
        <w:jc w:val="both"/>
        <w:rPr>
          <w:spacing w:val="-3"/>
          <w:sz w:val="24"/>
          <w:u w:val="single"/>
        </w:rPr>
      </w:pPr>
      <w:r>
        <w:rPr>
          <w:spacing w:val="-3"/>
          <w:sz w:val="24"/>
          <w:u w:val="single"/>
        </w:rPr>
      </w:r>
    </w:p>
    <w:p>
      <w:pPr>
        <w:pStyle w:val="Normal"/>
        <w:tabs>
          <w:tab w:val="clear" w:pos="720"/>
          <w:tab w:val="left" w:pos="1440" w:leader="none"/>
        </w:tabs>
        <w:jc w:val="both"/>
        <w:rPr>
          <w:sz w:val="24"/>
        </w:rPr>
      </w:pPr>
      <w:r>
        <w:rPr>
          <w:spacing w:val="-3"/>
          <w:sz w:val="24"/>
        </w:rPr>
        <w:t>The CME, EMTA and the BRL NDF Advisory Group disclaim liability for the BRL Industry Survey Rate, and no representation or warranty, express or implied, is made concerning the BRL Industry Survey Rate (including, without limitation, the methodology for its determination and its suitability for any particular use).</w:t>
      </w:r>
    </w:p>
    <w:p>
      <w:pPr>
        <w:pStyle w:val="FootnoteText"/>
        <w:tabs>
          <w:tab w:val="clear" w:pos="720"/>
          <w:tab w:val="left" w:pos="1440" w:leader="none"/>
        </w:tabs>
        <w:jc w:val="both"/>
        <w:rPr>
          <w:sz w:val="24"/>
        </w:rPr>
      </w:pPr>
      <w:r>
        <w:rPr>
          <w:sz w:val="24"/>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svc/brlmtfin</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svc/brlmtfin</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ab/>
        <w:t>The PTAX Rate, as used herein, means the U.S. Dollar offer (Brazilian Real bid) rate, expressed as the number of Brazilian Reais per one U.S. Dollar, calculated by the Central Bank of Brazil for transaction code PTAX 800, option 5.</w:t>
      </w:r>
    </w:p>
    <w:p>
      <w:pPr>
        <w:pStyle w:val="FootnoteText"/>
        <w:jc w:val="both"/>
        <w:rPr/>
      </w:pPr>
      <w:r>
        <w:rPr/>
      </w:r>
    </w:p>
  </w:footnote>
  <w:footnote w:id="3">
    <w:p>
      <w:pPr>
        <w:pStyle w:val="FootnoteText"/>
        <w:jc w:val="both"/>
        <w:rPr/>
      </w:pPr>
      <w:r>
        <w:rPr>
          <w:rStyle w:val="FootnoteCharacters"/>
        </w:rPr>
        <w:footnoteRef/>
      </w:r>
      <w:r>
        <w:rPr/>
        <w:tab/>
        <w:t>The discussion also focused, although to a lesser extent, on non-deliverable currency option (“</w:t>
      </w:r>
      <w:r>
        <w:rPr>
          <w:u w:val="single"/>
        </w:rPr>
        <w:t>NDO</w:t>
      </w:r>
      <w:r>
        <w:rPr/>
        <w:t>”) transactions.  The BRL Methodology may also be used in determining a back-up reference rate for valuation of an NDO, when appropriate.</w:t>
      </w:r>
    </w:p>
    <w:p>
      <w:pPr>
        <w:pStyle w:val="FootnoteText"/>
        <w:jc w:val="both"/>
        <w:rPr/>
      </w:pPr>
      <w:r>
        <w:rPr/>
      </w:r>
    </w:p>
  </w:footnote>
  <w:footnote w:id="4">
    <w:p>
      <w:pPr>
        <w:pStyle w:val="FootnoteText"/>
        <w:jc w:val="both"/>
        <w:rPr/>
      </w:pPr>
      <w:r>
        <w:rPr>
          <w:rStyle w:val="FootnoteCharacters"/>
        </w:rPr>
        <w:footnoteRef/>
      </w:r>
      <w:r>
        <w:rPr/>
        <w:tab/>
        <w:t>The current PTAX Rate has been published by the Central Bank since February 1, 1999.  Formerly, the Central Bank published two rates, the PTAX Commercial Rate and the PTAX Floating Rate, based upon the designation of certain transactions as commercial rate transactions or floating rate transactions.  The PTAX Commercial Rate was based upon the weighted average price of all U.S. Dollar/Brazilian Real commercial transactions in Brazil’s foreign exchange market as reported to the Central Bank through the SISBACEN network, as adjusted by the Central Bank pursuant to its methodology to represent the “ Dollar offered” side of the market.</w:t>
      </w:r>
    </w:p>
    <w:p>
      <w:pPr>
        <w:pStyle w:val="FootnoteText"/>
        <w:jc w:val="both"/>
        <w:rPr/>
      </w:pPr>
      <w:r>
        <w:rPr/>
      </w:r>
    </w:p>
  </w:footnote>
  <w:footnote w:id="5">
    <w:p>
      <w:pPr>
        <w:pStyle w:val="FootnoteText"/>
        <w:jc w:val="both"/>
        <w:rPr/>
      </w:pPr>
      <w:r>
        <w:rPr>
          <w:rStyle w:val="FootnoteCharacters"/>
        </w:rPr>
        <w:footnoteRef/>
      </w:r>
      <w:r>
        <w:rPr/>
        <w:tab/>
        <w:t>This is 8:00 AM NYC time when Standard Time is in effect in NYC and Daylight Savings Time is in effect in São Paulo; 9:00 AM NYC Time when either Standard Time or Daylight Savings Time is in effect in both NYC and São Paulo; and 10:00 AM NYC time when Daylight Savings Time is in effect in NYC and Standard Time is in effect in São Paulo.</w:t>
      </w:r>
    </w:p>
    <w:p>
      <w:pPr>
        <w:pStyle w:val="FootnoteText"/>
        <w:jc w:val="both"/>
        <w:rPr/>
      </w:pPr>
      <w:r>
        <w:rPr/>
      </w:r>
    </w:p>
  </w:footnote>
  <w:footnote w:id="6">
    <w:p>
      <w:pPr>
        <w:pStyle w:val="FootnoteText"/>
        <w:jc w:val="both"/>
        <w:rPr/>
      </w:pPr>
      <w:r>
        <w:rPr>
          <w:rStyle w:val="FootnoteCharacters"/>
        </w:rPr>
        <w:footnoteRef/>
      </w:r>
      <w:r>
        <w:rPr/>
        <w:t xml:space="preserve"> </w:t>
      </w:r>
      <w:r>
        <w:rPr/>
        <w:tab/>
        <w:t>This is 3:00 PM NYC time when Standard Time is in effect in NYC and Daylight Savings Time is in effect in São Paulo; 4:00 PM NYC Time when either Standard Time or Daylight Savings Time is in effect in both NYC and São Paulo; and 5:00 PM NYC time when Daylight Savings Time is in effect in NYC and Standard Time is in effect in São Paulo.</w:t>
      </w:r>
    </w:p>
    <w:p>
      <w:pPr>
        <w:pStyle w:val="FootnoteText"/>
        <w:jc w:val="both"/>
        <w:rPr/>
      </w:pPr>
      <w:r>
        <w:rPr/>
      </w:r>
    </w:p>
  </w:footnote>
  <w:footnote w:id="7">
    <w:p>
      <w:pPr>
        <w:pStyle w:val="FootnoteText"/>
        <w:jc w:val="both"/>
        <w:rPr/>
      </w:pPr>
      <w:r>
        <w:rPr>
          <w:rStyle w:val="FootnoteCharacters"/>
        </w:rPr>
        <w:t>6</w:t>
      </w:r>
      <w:r>
        <w:rPr/>
        <w:t xml:space="preserve"> </w:t>
      </w:r>
      <w:r>
        <w:rPr/>
        <w:tab/>
        <w:t>This is 9:30 AM NYC time when Standard Time is in effect in NYC and Daylight Savings Time is in effect in São Paulo; 10:30 AM NYC Time when either Standard Time or Daylight Savings Time is in effect in both NYC and São Paulo; and 11:30 AM NYC time when Daylight Savings Time is in effect in NYC and Standard Time is in effect in São Paulo.</w:t>
      </w:r>
    </w:p>
    <w:p>
      <w:pPr>
        <w:pStyle w:val="FootnoteText"/>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FINAL DRAFT</w:t>
    </w:r>
  </w:p>
  <w:p>
    <w:pPr>
      <w:pStyle w:val="Header"/>
      <w:rPr/>
    </w:pPr>
    <w:r>
      <w:rPr/>
      <w:tab/>
      <w:tab/>
      <w:t>November 8, 1999</w:t>
    </w:r>
  </w:p>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u w:val="single"/>
    </w:rPr>
  </w:style>
  <w:style w:type="paragraph" w:styleId="Heading2">
    <w:name w:val="heading 2"/>
    <w:basedOn w:val="Normal"/>
    <w:next w:val="Normal"/>
    <w:qFormat/>
    <w:pPr>
      <w:keepNext w:val="true"/>
      <w:tabs>
        <w:tab w:val="clear" w:pos="720"/>
        <w:tab w:val="left" w:pos="-720" w:leader="none"/>
      </w:tabs>
      <w:suppressAutoHyphens w:val="true"/>
      <w:jc w:val="both"/>
      <w:outlineLvl w:val="1"/>
    </w:pPr>
    <w:rPr>
      <w:rFonts w:ascii="Univers" w:hAnsi="Univers" w:cs="Univers"/>
      <w:spacing w:val="-3"/>
      <w:sz w:val="24"/>
    </w:rPr>
  </w:style>
  <w:style w:type="paragraph" w:styleId="Heading3">
    <w:name w:val="heading 3"/>
    <w:basedOn w:val="Normal"/>
    <w:next w:val="Normal"/>
    <w:qFormat/>
    <w:pPr>
      <w:keepNext w:val="true"/>
      <w:tabs>
        <w:tab w:val="clear" w:pos="720"/>
        <w:tab w:val="left" w:pos="-720" w:leader="none"/>
      </w:tabs>
      <w:suppressAutoHyphens w:val="true"/>
      <w:jc w:val="center"/>
      <w:outlineLvl w:val="2"/>
    </w:pPr>
    <w:rPr>
      <w:rFonts w:ascii="Univers" w:hAnsi="Univers" w:cs="Univers"/>
      <w:spacing w:val="-3"/>
      <w:sz w:val="24"/>
      <w:u w:val="single"/>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Univers" w:hAnsi="Univers" w:cs="Univers"/>
      <w:spacing w:val="-2"/>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2">
    <w:name w:val="Body Text Indent 2"/>
    <w:basedOn w:val="Normal"/>
    <w:qFormat/>
    <w:pPr>
      <w:tabs>
        <w:tab w:val="left" w:pos="-720" w:leader="none"/>
        <w:tab w:val="left" w:pos="0" w:leader="none"/>
        <w:tab w:val="left" w:pos="720" w:leader="none"/>
      </w:tabs>
      <w:suppressAutoHyphens w:val="true"/>
      <w:ind w:hanging="0" w:start="720" w:end="0"/>
      <w:jc w:val="both"/>
    </w:pPr>
    <w:rPr>
      <w:rFonts w:ascii="Univers" w:hAnsi="Univers" w:cs="Univers"/>
      <w:spacing w:val="-3"/>
      <w:sz w:val="16"/>
    </w:rPr>
  </w:style>
  <w:style w:type="paragraph" w:styleId="BodyTextIndent3">
    <w:name w:val="Body Text Indent 3"/>
    <w:basedOn w:val="Normal"/>
    <w:qFormat/>
    <w:pPr>
      <w:widowControl w:val="false"/>
      <w:tabs>
        <w:tab w:val="clear" w:pos="720"/>
        <w:tab w:val="left" w:pos="-720" w:leader="none"/>
        <w:tab w:val="left" w:pos="0" w:leader="none"/>
      </w:tabs>
      <w:suppressAutoHyphens w:val="true"/>
      <w:ind w:hanging="1350" w:start="810" w:end="0"/>
      <w:jc w:val="both"/>
    </w:pPr>
    <w:rPr>
      <w:rFonts w:ascii="Univers" w:hAnsi="Univers" w:cs="Univers"/>
      <w:spacing w:val="-3"/>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s>
      <w:suppressAutoHyphens w:val="true"/>
      <w:jc w:val="center"/>
    </w:pPr>
    <w:rPr>
      <w:rFonts w:ascii="Univers" w:hAnsi="Univers" w:cs="Univers"/>
      <w:spacing w:val="-3"/>
      <w:sz w:val="24"/>
    </w:rPr>
  </w:style>
  <w:style w:type="paragraph" w:styleId="BodyText3">
    <w:name w:val="Body Text 3"/>
    <w:basedOn w:val="Normal"/>
    <w:qFormat/>
    <w:pPr>
      <w:tabs>
        <w:tab w:val="clear" w:pos="720"/>
        <w:tab w:val="left" w:pos="1440" w:leader="none"/>
      </w:tabs>
      <w:suppressAutoHyphens w:val="true"/>
      <w:jc w:val="both"/>
    </w:pPr>
    <w:rPr>
      <w:spacing w:val="-3"/>
      <w:sz w:val="24"/>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1999-11-08T14:46:00Z</dcterms:created>
  <dc:creator>syoungre</dc:creator>
  <dc:description/>
  <dc:language>en-CA</dc:language>
  <cp:lastModifiedBy>Aviva Werner</cp:lastModifiedBy>
  <cp:lastPrinted>1999-11-08T13:17:00Z</cp:lastPrinted>
  <dcterms:modified xsi:type="dcterms:W3CDTF">1999-11-08T15:53:00Z</dcterms:modified>
  <cp:revision>3</cp:revision>
  <dc:subject/>
  <dc:title>PROPOSED CHANGES TO THE CME BRAZILIAN REAL CONTRACT SUGGESTED BY EMTA STAFF AND MEMBERS</dc:title>
</cp:coreProperties>
</file>