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6480" w:leader="none"/>
        </w:tabs>
        <w:spacing w:before="0" w:after="600"/>
        <w:rPr>
          <w:b/>
          <w:sz w:val="24"/>
        </w:rPr>
      </w:pPr>
      <w:r>
        <w:rPr>
          <w:b/>
          <w:sz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10800" fillcolor="white" stroked="f" o:allowincell="f" style="position:absolute;margin-left:-50.4pt;margin-top:-100.8pt;width:13.5pt;height:61.85pt;mso-wrap-style:none;v-text-anchor:middle" type="_x0000_t136">
            <v:path textpathok="t"/>
            <v:textpath on="t" fitshape="t" string="E&#10;M&#10;T&#10;A" style="font-family:&quot;Times New Roman&quot;;font-size:12pt;font-weight:bold;font-style:italic" trim="t"/>
            <v:fill o:detectmouseclick="t" type="solid" color2="black"/>
            <v:stroke color="#3465a4" joinstyle="round" endcap="flat"/>
            <w10:wrap type="none"/>
          </v:shape>
        </w:pict>
        <w:t>BY E-MAIL</w:t>
      </w:r>
      <w:r>
        <w:rPr>
          <w:sz w:val="24"/>
        </w:rPr>
        <w:tab/>
        <w:tab/>
      </w:r>
      <w:r>
        <mc:AlternateContent>
          <mc:Choice Requires="wps">
            <w:drawing>
              <wp:anchor behindDoc="0" distT="0" distB="0" distL="114935" distR="114935" simplePos="0" locked="0" layoutInCell="1" allowOverlap="1" relativeHeight="2">
                <wp:simplePos x="0" y="0"/>
                <wp:positionH relativeFrom="column">
                  <wp:posOffset>-640080</wp:posOffset>
                </wp:positionH>
                <wp:positionV relativeFrom="paragraph">
                  <wp:posOffset>-1737360</wp:posOffset>
                </wp:positionV>
                <wp:extent cx="244475" cy="9875520"/>
                <wp:effectExtent l="0" t="0" r="0" b="0"/>
                <wp:wrapNone/>
                <wp:docPr id="2" name="Frame3"/>
                <a:graphic xmlns:a="http://schemas.openxmlformats.org/drawingml/2006/main">
                  <a:graphicData uri="http://schemas.microsoft.com/office/word/2010/wordprocessingShape">
                    <wps:wsp>
                      <wps:cNvSpPr txBox="1"/>
                      <wps:spPr>
                        <a:xfrm>
                          <a:off x="0" y="0"/>
                          <a:ext cx="244475" cy="9875520"/>
                        </a:xfrm>
                        <a:prstGeom prst="rect"/>
                        <a:solidFill>
                          <a:srgbClr val="339966"/>
                        </a:solidFill>
                      </wps:spPr>
                      <wps:txbx>
                        <w:txbxContent>
                          <w:p>
                            <w:pPr>
                              <w:pStyle w:val="Normal"/>
                              <w:jc w:val="center"/>
                              <w:rPr/>
                            </w:pPr>
                            <w:r>
                              <w:rPr/>
                            </w:r>
                          </w:p>
                        </w:txbxContent>
                      </wps:txbx>
                      <wps:bodyPr anchor="t" lIns="635" tIns="46355" rIns="229235" bIns="46355">
                        <a:noAutofit/>
                      </wps:bodyPr>
                    </wps:wsp>
                  </a:graphicData>
                </a:graphic>
              </wp:anchor>
            </w:drawing>
          </mc:Choice>
          <mc:Fallback>
            <w:pict>
              <v:rect fillcolor="#339966" style="position:absolute;rotation:-0;width:19.25pt;height:777.6pt;mso-wrap-distance-left:9.05pt;mso-wrap-distance-right:9.05pt;mso-wrap-distance-top:0pt;mso-wrap-distance-bottom:0pt;margin-top:-136.8pt;mso-position-vertical-relative:text;margin-left:-50.4pt;mso-position-horizontal-relative:text">
                <v:textbox inset="0.000694444444444445in,0.0506944444444444in,0.250694444444444in,0.0506944444444444in">
                  <w:txbxContent>
                    <w:p>
                      <w:pPr>
                        <w:pStyle w:val="Normal"/>
                        <w:jc w:val="center"/>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-457200</wp:posOffset>
                </wp:positionH>
                <wp:positionV relativeFrom="paragraph">
                  <wp:posOffset>-1371600</wp:posOffset>
                </wp:positionV>
                <wp:extent cx="1005840" cy="1097280"/>
                <wp:effectExtent l="0" t="0" r="0" b="0"/>
                <wp:wrapNone/>
                <wp:docPr id="3" name="Frame2"/>
                <a:graphic xmlns:a="http://schemas.openxmlformats.org/drawingml/2006/main">
                  <a:graphicData uri="http://schemas.microsoft.com/office/word/2010/wordprocessingShape">
                    <wps:wsp>
                      <wps:cNvSpPr txBox="1"/>
                      <wps:spPr>
                        <a:xfrm>
                          <a:off x="0" y="0"/>
                          <a:ext cx="1005840" cy="1097280"/>
                        </a:xfrm>
                        <a:prstGeom prst="rect"/>
                        <a:solidFill>
                          <a:srgbClr val="FFFFFF">
                            <a:alpha val="50000"/>
                          </a:srgbClr>
                        </a:solidFill>
                      </wps:spPr>
                      <wps:txbx>
                        <w:txbxContent>
                          <w:p>
                            <w:pPr>
                              <w:pStyle w:val="Normal"/>
                              <w:spacing w:before="120" w:after="0"/>
                              <w:rPr/>
                            </w:pPr>
                            <w:r>
                              <w:rPr>
                                <w:i/>
                              </w:rPr>
                              <w:t xml:space="preserve"> </w:t>
                            </w:r>
                            <w:r>
                              <w:rPr>
                                <w:rFonts w:cs="Garamond" w:ascii="Garamond" w:hAnsi="Garamond"/>
                                <w:i/>
                              </w:rPr>
                              <w:t>m e r g i n g</w:t>
                            </w:r>
                          </w:p>
                          <w:p>
                            <w:pPr>
                              <w:pStyle w:val="Normal"/>
                              <w:spacing w:before="120" w:after="0"/>
                              <w:rPr>
                                <w:rFonts w:ascii="Garamond" w:hAnsi="Garamond" w:cs="Garamond"/>
                                <w:i/>
                                <w:i/>
                              </w:rPr>
                            </w:pPr>
                            <w:r>
                              <w:rPr>
                                <w:rFonts w:eastAsia="Garamond" w:cs="Garamond" w:ascii="Garamond" w:hAnsi="Garamond"/>
                                <w:i/>
                              </w:rPr>
                              <w:t xml:space="preserve"> </w:t>
                            </w:r>
                            <w:r>
                              <w:rPr>
                                <w:rFonts w:cs="Garamond" w:ascii="Garamond" w:hAnsi="Garamond"/>
                                <w:i/>
                              </w:rPr>
                              <w:t>a r k e t s</w:t>
                            </w:r>
                          </w:p>
                          <w:p>
                            <w:pPr>
                              <w:pStyle w:val="Normal"/>
                              <w:spacing w:before="120" w:after="0"/>
                              <w:rPr>
                                <w:rFonts w:ascii="Garamond" w:hAnsi="Garamond" w:cs="Garamond"/>
                                <w:i/>
                                <w:i/>
                              </w:rPr>
                            </w:pPr>
                            <w:r>
                              <w:rPr>
                                <w:rFonts w:eastAsia="Garamond" w:cs="Garamond" w:ascii="Garamond" w:hAnsi="Garamond"/>
                                <w:i/>
                              </w:rPr>
                              <w:t xml:space="preserve"> </w:t>
                            </w:r>
                            <w:r>
                              <w:rPr>
                                <w:rFonts w:cs="Garamond" w:ascii="Garamond" w:hAnsi="Garamond"/>
                                <w:i/>
                              </w:rPr>
                              <w:t>r a d e r s</w:t>
                            </w:r>
                          </w:p>
                          <w:p>
                            <w:pPr>
                              <w:pStyle w:val="BodyText"/>
                              <w:spacing w:before="120" w:after="0"/>
                              <w:rPr>
                                <w:rFonts w:ascii="Garamond" w:hAnsi="Garamond" w:cs="Garamond"/>
                                <w:sz w:val="20"/>
                              </w:rPr>
                            </w:pPr>
                            <w:r>
                              <w:rPr>
                                <w:rFonts w:eastAsia="Garamond" w:cs="Garamond" w:ascii="Garamond" w:hAnsi="Garamond"/>
                                <w:sz w:val="20"/>
                              </w:rPr>
                              <w:t xml:space="preserve"> </w:t>
                            </w:r>
                            <w:r>
                              <w:rPr>
                                <w:rFonts w:cs="Garamond" w:ascii="Garamond" w:hAnsi="Garamond"/>
                                <w:sz w:val="20"/>
                              </w:rPr>
                              <w:t>s s o c i a t i o n</w:t>
                            </w:r>
                          </w:p>
                        </w:txbxContent>
                      </wps:txbx>
                      <wps:bodyPr anchor="t" lIns="635" tIns="46355" rIns="92075" bIns="46355">
                        <a:noAutofit/>
                      </wps:bodyPr>
                    </wps:wsp>
                  </a:graphicData>
                </a:graphic>
              </wp:anchor>
            </w:drawing>
          </mc:Choice>
          <mc:Fallback>
            <w:pict>
              <v:rect fillcolor="#FFFFFF" style="position:absolute;rotation:-0;width:79.2pt;height:86.4pt;mso-wrap-distance-left:9.05pt;mso-wrap-distance-right:9.05pt;mso-wrap-distance-top:0pt;mso-wrap-distance-bottom:0pt;margin-top:-108pt;mso-position-vertical-relative:text;margin-left:-36pt;mso-position-horizontal-relative:text">
                <v:fill opacity="32767.5f"/>
                <v:textbox inset="0.000694444444444445in,0.0506944444444444in,0.100694444444444in,0.0506944444444444in">
                  <w:txbxContent>
                    <w:p>
                      <w:pPr>
                        <w:pStyle w:val="Normal"/>
                        <w:spacing w:before="120" w:after="0"/>
                        <w:rPr/>
                      </w:pPr>
                      <w:r>
                        <w:rPr>
                          <w:i/>
                        </w:rPr>
                        <w:t xml:space="preserve"> </w:t>
                      </w:r>
                      <w:r>
                        <w:rPr>
                          <w:rFonts w:cs="Garamond" w:ascii="Garamond" w:hAnsi="Garamond"/>
                          <w:i/>
                        </w:rPr>
                        <w:t>m e r g i n g</w:t>
                      </w:r>
                    </w:p>
                    <w:p>
                      <w:pPr>
                        <w:pStyle w:val="Normal"/>
                        <w:spacing w:before="120" w:after="0"/>
                        <w:rPr>
                          <w:rFonts w:ascii="Garamond" w:hAnsi="Garamond" w:cs="Garamond"/>
                          <w:i/>
                          <w:i/>
                        </w:rPr>
                      </w:pPr>
                      <w:r>
                        <w:rPr>
                          <w:rFonts w:eastAsia="Garamond" w:cs="Garamond" w:ascii="Garamond" w:hAnsi="Garamond"/>
                          <w:i/>
                        </w:rPr>
                        <w:t xml:space="preserve"> </w:t>
                      </w:r>
                      <w:r>
                        <w:rPr>
                          <w:rFonts w:cs="Garamond" w:ascii="Garamond" w:hAnsi="Garamond"/>
                          <w:i/>
                        </w:rPr>
                        <w:t>a r k e t s</w:t>
                      </w:r>
                    </w:p>
                    <w:p>
                      <w:pPr>
                        <w:pStyle w:val="Normal"/>
                        <w:spacing w:before="120" w:after="0"/>
                        <w:rPr>
                          <w:rFonts w:ascii="Garamond" w:hAnsi="Garamond" w:cs="Garamond"/>
                          <w:i/>
                          <w:i/>
                        </w:rPr>
                      </w:pPr>
                      <w:r>
                        <w:rPr>
                          <w:rFonts w:eastAsia="Garamond" w:cs="Garamond" w:ascii="Garamond" w:hAnsi="Garamond"/>
                          <w:i/>
                        </w:rPr>
                        <w:t xml:space="preserve"> </w:t>
                      </w:r>
                      <w:r>
                        <w:rPr>
                          <w:rFonts w:cs="Garamond" w:ascii="Garamond" w:hAnsi="Garamond"/>
                          <w:i/>
                        </w:rPr>
                        <w:t>r a d e r s</w:t>
                      </w:r>
                    </w:p>
                    <w:p>
                      <w:pPr>
                        <w:pStyle w:val="BodyText"/>
                        <w:spacing w:before="120" w:after="0"/>
                        <w:rPr>
                          <w:rFonts w:ascii="Garamond" w:hAnsi="Garamond" w:cs="Garamond"/>
                          <w:sz w:val="20"/>
                        </w:rPr>
                      </w:pPr>
                      <w:r>
                        <w:rPr>
                          <w:rFonts w:eastAsia="Garamond" w:cs="Garamond" w:ascii="Garamond" w:hAnsi="Garamond"/>
                          <w:sz w:val="20"/>
                        </w:rPr>
                        <w:t xml:space="preserve"> </w:t>
                      </w:r>
                      <w:r>
                        <w:rPr>
                          <w:rFonts w:cs="Garamond" w:ascii="Garamond" w:hAnsi="Garamond"/>
                          <w:sz w:val="20"/>
                        </w:rPr>
                        <w:t>s s o c i a t i o n</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4297680</wp:posOffset>
                </wp:positionH>
                <wp:positionV relativeFrom="paragraph">
                  <wp:posOffset>-1463040</wp:posOffset>
                </wp:positionV>
                <wp:extent cx="1737360" cy="1371600"/>
                <wp:effectExtent l="0" t="0" r="0" b="0"/>
                <wp:wrapNone/>
                <wp:docPr id="4" name="Frame1"/>
                <a:graphic xmlns:a="http://schemas.openxmlformats.org/drawingml/2006/main">
                  <a:graphicData uri="http://schemas.microsoft.com/office/word/2010/wordprocessingShape">
                    <wps:wsp>
                      <wps:cNvSpPr txBox="1"/>
                      <wps:spPr>
                        <a:xfrm>
                          <a:off x="0" y="0"/>
                          <a:ext cx="1737360" cy="1371600"/>
                        </a:xfrm>
                        <a:prstGeom prst="rect"/>
                        <a:solidFill>
                          <a:srgbClr val="FFFFFF">
                            <a:alpha val="0"/>
                          </a:srgbClr>
                        </a:solidFill>
                      </wps:spPr>
                      <wps:txbx>
                        <w:txbxContent>
                          <w:p>
                            <w:pPr>
                              <w:pStyle w:val="Normal"/>
                              <w:rPr>
                                <w:rFonts w:ascii="Garamond" w:hAnsi="Garamond" w:cs="Garamond"/>
                                <w:b/>
                              </w:rPr>
                            </w:pPr>
                            <w:r>
                              <w:rPr>
                                <w:rFonts w:cs="Garamond" w:ascii="Garamond" w:hAnsi="Garamond"/>
                                <w:b/>
                              </w:rPr>
                              <w:t>Starla V. Cohen</w:t>
                            </w:r>
                          </w:p>
                          <w:p>
                            <w:pPr>
                              <w:pStyle w:val="Normal"/>
                              <w:rPr>
                                <w:rFonts w:ascii="Garamond" w:hAnsi="Garamond" w:cs="Garamond"/>
                                <w:i/>
                                <w:i/>
                              </w:rPr>
                            </w:pPr>
                            <w:r>
                              <w:rPr>
                                <w:rFonts w:cs="Garamond" w:ascii="Garamond" w:hAnsi="Garamond"/>
                                <w:i/>
                              </w:rPr>
                              <w:t>Special Projects &amp; Legal Counsel</w:t>
                            </w:r>
                          </w:p>
                          <w:p>
                            <w:pPr>
                              <w:pStyle w:val="Normal"/>
                              <w:rPr>
                                <w:rFonts w:ascii="Garamond" w:hAnsi="Garamond" w:cs="Garamond"/>
                                <w:i/>
                                <w:i/>
                              </w:rPr>
                            </w:pPr>
                            <w:r>
                              <w:rPr>
                                <w:rFonts w:cs="Garamond" w:ascii="Garamond" w:hAnsi="Garamond"/>
                                <w:i/>
                              </w:rPr>
                            </w:r>
                          </w:p>
                          <w:p>
                            <w:pPr>
                              <w:pStyle w:val="Normal"/>
                              <w:rPr/>
                            </w:pPr>
                            <w:r>
                              <w:rPr>
                                <w:rFonts w:cs="Garamond" w:ascii="Garamond" w:hAnsi="Garamond"/>
                                <w:i/>
                              </w:rPr>
                              <w:t>63 Wall Street, 20</w:t>
                            </w:r>
                            <w:r>
                              <w:rPr>
                                <w:rFonts w:cs="Garamond" w:ascii="Garamond" w:hAnsi="Garamond"/>
                                <w:i/>
                                <w:vertAlign w:val="superscript"/>
                              </w:rPr>
                              <w:t>th</w:t>
                            </w:r>
                            <w:r>
                              <w:rPr>
                                <w:rFonts w:cs="Garamond" w:ascii="Garamond" w:hAnsi="Garamond"/>
                                <w:i/>
                              </w:rPr>
                              <w:t xml:space="preserve"> floor</w:t>
                            </w:r>
                          </w:p>
                          <w:p>
                            <w:pPr>
                              <w:pStyle w:val="Heading2"/>
                              <w:spacing w:before="0" w:after="120"/>
                              <w:ind w:hanging="0" w:start="0"/>
                              <w:rPr>
                                <w:rFonts w:ascii="Garamond" w:hAnsi="Garamond" w:cs="Garamond"/>
                                <w:i w:val="false"/>
                                <w:i w:val="false"/>
                              </w:rPr>
                            </w:pPr>
                            <w:r>
                              <w:rPr>
                                <w:rFonts w:cs="Garamond" w:ascii="Garamond" w:hAnsi="Garamond"/>
                              </w:rPr>
                              <w:t>New York, NY 10005</w:t>
                            </w:r>
                          </w:p>
                          <w:p>
                            <w:pPr>
                              <w:pStyle w:val="Normal"/>
                              <w:rPr>
                                <w:rFonts w:ascii="Garamond" w:hAnsi="Garamond" w:cs="Garamond"/>
                                <w:i/>
                                <w:i/>
                              </w:rPr>
                            </w:pPr>
                            <w:r>
                              <w:rPr>
                                <w:rFonts w:cs="Garamond" w:ascii="Garamond" w:hAnsi="Garamond"/>
                                <w:i/>
                              </w:rPr>
                              <w:t>33-1-40-65-90-03</w:t>
                            </w:r>
                          </w:p>
                          <w:p>
                            <w:pPr>
                              <w:pStyle w:val="Normal"/>
                              <w:rPr>
                                <w:rFonts w:ascii="Garamond" w:hAnsi="Garamond" w:cs="Garamond"/>
                                <w:i/>
                                <w:i/>
                              </w:rPr>
                            </w:pPr>
                            <w:r>
                              <w:rPr>
                                <w:rFonts w:cs="Garamond" w:ascii="Garamond" w:hAnsi="Garamond"/>
                                <w:i/>
                              </w:rPr>
                              <w:t>33-1-45-66-52-64 Fax</w:t>
                            </w:r>
                          </w:p>
                          <w:p>
                            <w:pPr>
                              <w:pStyle w:val="Normal"/>
                              <w:rPr>
                                <w:i/>
                                <w:i/>
                              </w:rPr>
                            </w:pPr>
                            <w:r>
                              <w:rPr>
                                <w:i/>
                              </w:rPr>
                              <w:t>scohen@emta.org</w:t>
                            </w:r>
                          </w:p>
                        </w:txbxContent>
                      </wps:txbx>
                      <wps:bodyPr anchor="t" lIns="92075" tIns="46355" rIns="92075" bIns="46355">
                        <a:noAutofit/>
                      </wps:bodyPr>
                    </wps:wsp>
                  </a:graphicData>
                </a:graphic>
              </wp:anchor>
            </w:drawing>
          </mc:Choice>
          <mc:Fallback>
            <w:pict>
              <v:rect fillcolor="#FFFFFF" style="position:absolute;rotation:-0;width:136.8pt;height:108pt;mso-wrap-distance-left:9.05pt;mso-wrap-distance-right:9.05pt;mso-wrap-distance-top:0pt;mso-wrap-distance-bottom:0pt;margin-top:-115.2pt;mso-position-vertical-relative:text;margin-left:338.4pt;mso-position-horizontal-relative:text">
                <v:fill opacity="0f"/>
                <v:textbox inset="0.100694444444444in,0.0506944444444444in,0.100694444444444in,0.0506944444444444in">
                  <w:txbxContent>
                    <w:p>
                      <w:pPr>
                        <w:pStyle w:val="Normal"/>
                        <w:rPr>
                          <w:rFonts w:ascii="Garamond" w:hAnsi="Garamond" w:cs="Garamond"/>
                          <w:b/>
                        </w:rPr>
                      </w:pPr>
                      <w:r>
                        <w:rPr>
                          <w:rFonts w:cs="Garamond" w:ascii="Garamond" w:hAnsi="Garamond"/>
                          <w:b/>
                        </w:rPr>
                        <w:t>Starla V. Cohen</w:t>
                      </w:r>
                    </w:p>
                    <w:p>
                      <w:pPr>
                        <w:pStyle w:val="Normal"/>
                        <w:rPr>
                          <w:rFonts w:ascii="Garamond" w:hAnsi="Garamond" w:cs="Garamond"/>
                          <w:i/>
                          <w:i/>
                        </w:rPr>
                      </w:pPr>
                      <w:r>
                        <w:rPr>
                          <w:rFonts w:cs="Garamond" w:ascii="Garamond" w:hAnsi="Garamond"/>
                          <w:i/>
                        </w:rPr>
                        <w:t>Special Projects &amp; Legal Counsel</w:t>
                      </w:r>
                    </w:p>
                    <w:p>
                      <w:pPr>
                        <w:pStyle w:val="Normal"/>
                        <w:rPr>
                          <w:rFonts w:ascii="Garamond" w:hAnsi="Garamond" w:cs="Garamond"/>
                          <w:i/>
                          <w:i/>
                        </w:rPr>
                      </w:pPr>
                      <w:r>
                        <w:rPr>
                          <w:rFonts w:cs="Garamond" w:ascii="Garamond" w:hAnsi="Garamond"/>
                          <w:i/>
                        </w:rPr>
                      </w:r>
                    </w:p>
                    <w:p>
                      <w:pPr>
                        <w:pStyle w:val="Normal"/>
                        <w:rPr/>
                      </w:pPr>
                      <w:r>
                        <w:rPr>
                          <w:rFonts w:cs="Garamond" w:ascii="Garamond" w:hAnsi="Garamond"/>
                          <w:i/>
                        </w:rPr>
                        <w:t>63 Wall Street, 20</w:t>
                      </w:r>
                      <w:r>
                        <w:rPr>
                          <w:rFonts w:cs="Garamond" w:ascii="Garamond" w:hAnsi="Garamond"/>
                          <w:i/>
                          <w:vertAlign w:val="superscript"/>
                        </w:rPr>
                        <w:t>th</w:t>
                      </w:r>
                      <w:r>
                        <w:rPr>
                          <w:rFonts w:cs="Garamond" w:ascii="Garamond" w:hAnsi="Garamond"/>
                          <w:i/>
                        </w:rPr>
                        <w:t xml:space="preserve"> floor</w:t>
                      </w:r>
                    </w:p>
                    <w:p>
                      <w:pPr>
                        <w:pStyle w:val="Heading2"/>
                        <w:spacing w:before="0" w:after="120"/>
                        <w:ind w:hanging="0" w:start="0"/>
                        <w:rPr>
                          <w:rFonts w:ascii="Garamond" w:hAnsi="Garamond" w:cs="Garamond"/>
                          <w:i w:val="false"/>
                          <w:i w:val="false"/>
                        </w:rPr>
                      </w:pPr>
                      <w:r>
                        <w:rPr>
                          <w:rFonts w:cs="Garamond" w:ascii="Garamond" w:hAnsi="Garamond"/>
                        </w:rPr>
                        <w:t>New York, NY 10005</w:t>
                      </w:r>
                    </w:p>
                    <w:p>
                      <w:pPr>
                        <w:pStyle w:val="Normal"/>
                        <w:rPr>
                          <w:rFonts w:ascii="Garamond" w:hAnsi="Garamond" w:cs="Garamond"/>
                          <w:i/>
                          <w:i/>
                        </w:rPr>
                      </w:pPr>
                      <w:r>
                        <w:rPr>
                          <w:rFonts w:cs="Garamond" w:ascii="Garamond" w:hAnsi="Garamond"/>
                          <w:i/>
                        </w:rPr>
                        <w:t>33-1-40-65-90-03</w:t>
                      </w:r>
                    </w:p>
                    <w:p>
                      <w:pPr>
                        <w:pStyle w:val="Normal"/>
                        <w:rPr>
                          <w:rFonts w:ascii="Garamond" w:hAnsi="Garamond" w:cs="Garamond"/>
                          <w:i/>
                          <w:i/>
                        </w:rPr>
                      </w:pPr>
                      <w:r>
                        <w:rPr>
                          <w:rFonts w:cs="Garamond" w:ascii="Garamond" w:hAnsi="Garamond"/>
                          <w:i/>
                        </w:rPr>
                        <w:t>33-1-45-66-52-64 Fax</w:t>
                      </w:r>
                    </w:p>
                    <w:p>
                      <w:pPr>
                        <w:pStyle w:val="Normal"/>
                        <w:rPr>
                          <w:i/>
                          <w:i/>
                        </w:rPr>
                      </w:pPr>
                      <w:r>
                        <w:rPr>
                          <w:i/>
                        </w:rPr>
                        <w:t>scohen@emta.org</w:t>
                      </w:r>
                    </w:p>
                  </w:txbxContent>
                </v:textbox>
                <w10:wrap type="none"/>
              </v:rect>
            </w:pict>
          </mc:Fallback>
        </mc:AlternateContent>
      </w:r>
    </w:p>
    <w:p>
      <w:pPr>
        <w:pStyle w:val="Normal"/>
        <w:jc w:val="both"/>
        <w:rPr/>
      </w:pPr>
      <w:r>
        <w:rPr>
          <w:b/>
          <w:sz w:val="24"/>
        </w:rPr>
        <w:t>TO:</w:t>
        <w:tab/>
        <w:tab/>
      </w:r>
      <w:r>
        <w:rPr>
          <w:sz w:val="24"/>
        </w:rPr>
        <w:t>NDF Brazil Sub-committee</w:t>
      </w:r>
    </w:p>
    <w:p>
      <w:pPr>
        <w:pStyle w:val="Normal"/>
        <w:tabs>
          <w:tab w:val="clear" w:pos="720"/>
          <w:tab w:val="left" w:pos="1440" w:leader="none"/>
          <w:tab w:val="left" w:pos="6480" w:leader="none"/>
        </w:tabs>
        <w:spacing w:before="0" w:after="240"/>
        <w:rPr>
          <w:sz w:val="24"/>
        </w:rPr>
      </w:pPr>
      <w:r>
        <w:rPr>
          <w:sz w:val="24"/>
        </w:rPr>
        <w:tab/>
        <w:t>NDF Lawyer Sub-committee</w:t>
      </w:r>
    </w:p>
    <w:p>
      <w:pPr>
        <w:pStyle w:val="Normal"/>
        <w:tabs>
          <w:tab w:val="clear" w:pos="720"/>
          <w:tab w:val="left" w:pos="1440" w:leader="none"/>
          <w:tab w:val="left" w:pos="6480" w:leader="none"/>
        </w:tabs>
        <w:spacing w:before="0" w:after="240"/>
        <w:rPr/>
      </w:pPr>
      <w:r>
        <w:rPr>
          <w:b/>
          <w:sz w:val="24"/>
        </w:rPr>
        <w:t>FROM:</w:t>
        <w:tab/>
      </w:r>
      <w:r>
        <w:rPr>
          <w:sz w:val="24"/>
        </w:rPr>
        <w:t>Starla V. Cohen</w:t>
      </w:r>
    </w:p>
    <w:p>
      <w:pPr>
        <w:pStyle w:val="Normal"/>
        <w:tabs>
          <w:tab w:val="clear" w:pos="720"/>
          <w:tab w:val="left" w:pos="1440" w:leader="none"/>
          <w:tab w:val="left" w:pos="6480" w:leader="none"/>
        </w:tabs>
        <w:spacing w:before="0" w:after="240"/>
        <w:rPr/>
      </w:pPr>
      <w:r>
        <w:rPr>
          <w:b/>
          <w:sz w:val="24"/>
        </w:rPr>
        <w:t>DATE:</w:t>
        <w:tab/>
      </w:r>
      <w:r>
        <w:rPr>
          <w:sz w:val="24"/>
        </w:rPr>
        <w:t>November 9, 1999</w:t>
      </w:r>
    </w:p>
    <w:p>
      <w:pPr>
        <w:pStyle w:val="Normal"/>
        <w:tabs>
          <w:tab w:val="clear" w:pos="720"/>
          <w:tab w:val="left" w:pos="1440" w:leader="none"/>
          <w:tab w:val="left" w:pos="6480" w:leader="none"/>
        </w:tabs>
        <w:spacing w:before="0" w:after="600"/>
        <w:rPr/>
      </w:pPr>
      <w:r>
        <w:rPr>
          <w:b/>
          <w:sz w:val="24"/>
        </w:rPr>
        <w:t>RE:</w:t>
        <w:tab/>
      </w:r>
      <w:r>
        <w:rPr>
          <w:b/>
          <w:sz w:val="24"/>
          <w:u w:val="single"/>
        </w:rPr>
        <w:t>Brazil Documents</w:t>
      </w:r>
    </w:p>
    <w:p>
      <w:pPr>
        <w:pStyle w:val="Normal"/>
        <w:jc w:val="both"/>
        <w:rPr>
          <w:sz w:val="24"/>
        </w:rPr>
      </w:pPr>
      <w:r>
        <w:rPr>
          <w:sz w:val="24"/>
        </w:rPr>
        <w:t>On November 5, 1999, the CFTC approved all of the changes to the CME Back-up Procedures for its Brazilian Real Futures Contract that were proposed by EMTA.</w:t>
      </w:r>
    </w:p>
    <w:p>
      <w:pPr>
        <w:pStyle w:val="Normal"/>
        <w:jc w:val="both"/>
        <w:rPr>
          <w:sz w:val="24"/>
        </w:rPr>
      </w:pPr>
      <w:r>
        <w:rPr>
          <w:sz w:val="24"/>
        </w:rPr>
      </w:r>
    </w:p>
    <w:p>
      <w:pPr>
        <w:pStyle w:val="Normal"/>
        <w:jc w:val="both"/>
        <w:rPr>
          <w:sz w:val="24"/>
        </w:rPr>
      </w:pPr>
      <w:r>
        <w:rPr>
          <w:sz w:val="24"/>
        </w:rPr>
        <w:t>As a result, we have been able to revise the BRL Industry Survey Methodology (the “BRL Methodology”) to reflect that there will no longer be any divergence in the survey procedures on days that are also termination of trading days for the CME Futures Contracts.</w:t>
      </w:r>
    </w:p>
    <w:p>
      <w:pPr>
        <w:pStyle w:val="Normal"/>
        <w:jc w:val="both"/>
        <w:rPr>
          <w:sz w:val="24"/>
        </w:rPr>
      </w:pPr>
      <w:r>
        <w:rPr>
          <w:sz w:val="24"/>
        </w:rPr>
      </w:r>
    </w:p>
    <w:p>
      <w:pPr>
        <w:pStyle w:val="Normal"/>
        <w:jc w:val="both"/>
        <w:rPr>
          <w:sz w:val="24"/>
        </w:rPr>
      </w:pPr>
      <w:r>
        <w:rPr>
          <w:sz w:val="24"/>
        </w:rPr>
        <w:t>Attached please find the Final Drafts of the BRL Methodology Summary, the BRL Methodology narrative and the BRL Confirmation Template.  Because the revised draft of Annex A is not yet available, we have included the BRL Industry Survey Rate definition in the Template.  The BRL Methodology will be carried out by the CME upon request by EMTA or members of the Brazil NDF Sub-committee (coordinated through EMTA).</w:t>
      </w:r>
    </w:p>
    <w:p>
      <w:pPr>
        <w:pStyle w:val="Normal"/>
        <w:jc w:val="both"/>
        <w:rPr>
          <w:sz w:val="24"/>
        </w:rPr>
      </w:pPr>
      <w:r>
        <w:rPr>
          <w:sz w:val="24"/>
        </w:rPr>
      </w:r>
    </w:p>
    <w:p>
      <w:pPr>
        <w:pStyle w:val="Normal"/>
        <w:jc w:val="both"/>
        <w:rPr>
          <w:sz w:val="24"/>
        </w:rPr>
      </w:pPr>
      <w:r>
        <w:rPr>
          <w:sz w:val="24"/>
        </w:rPr>
        <w:t>One issue left in the Template is whether you want to include a “drop dead date” to terminate the NDF transaction if the “unscheduled holiday” goes on for several days.  To date, the Lawyer Sub-committee has not provided any indication that there is consensus on this point.  Therefore, we have left the Template in the form distributed previously, and market participants may write in a “drop dead date” if counterparties negotiate and agree on that approach.</w:t>
      </w:r>
    </w:p>
    <w:p>
      <w:pPr>
        <w:pStyle w:val="Normal"/>
        <w:jc w:val="both"/>
        <w:rPr>
          <w:sz w:val="24"/>
        </w:rPr>
      </w:pPr>
      <w:r>
        <w:rPr>
          <w:sz w:val="24"/>
        </w:rPr>
      </w:r>
    </w:p>
    <w:p>
      <w:pPr>
        <w:pStyle w:val="Normal"/>
        <w:jc w:val="both"/>
        <w:rPr/>
      </w:pPr>
      <w:r>
        <w:rPr>
          <w:sz w:val="24"/>
        </w:rPr>
        <w:t xml:space="preserve">If you have any questions or final comments on these documents, please contact me at </w:t>
      </w:r>
      <w:hyperlink r:id="rId2">
        <w:r>
          <w:rPr>
            <w:rStyle w:val="Hyperlink"/>
            <w:sz w:val="24"/>
          </w:rPr>
          <w:t>scohen@emta.org</w:t>
        </w:r>
      </w:hyperlink>
      <w:r>
        <w:rPr>
          <w:sz w:val="24"/>
        </w:rPr>
        <w:t xml:space="preserve"> or by phone at (011331) 4065-9003 or Aviva Werner at </w:t>
      </w:r>
      <w:hyperlink r:id="rId3">
        <w:r>
          <w:rPr>
            <w:rStyle w:val="Hyperlink"/>
            <w:sz w:val="24"/>
          </w:rPr>
          <w:t>awerner@emta.org</w:t>
        </w:r>
      </w:hyperlink>
      <w:r>
        <w:rPr>
          <w:sz w:val="24"/>
        </w:rPr>
        <w:t xml:space="preserve"> or by phone at (212) 908-5003.  If I receive no comments by next Monday, November 15, Final Drafts of the documents will be distributed as final to the entire NDF Working Group and posted on our website for use by market participants.</w:t>
      </w:r>
    </w:p>
    <w:p>
      <w:pPr>
        <w:pStyle w:val="Normal"/>
        <w:jc w:val="both"/>
        <w:rPr>
          <w:sz w:val="24"/>
        </w:rPr>
      </w:pPr>
      <w:r>
        <w:rPr>
          <w:sz w:val="24"/>
        </w:rPr>
      </w:r>
    </w:p>
    <w:p>
      <w:pPr>
        <w:pStyle w:val="Normal"/>
        <w:jc w:val="both"/>
        <w:rPr>
          <w:sz w:val="24"/>
        </w:rPr>
      </w:pPr>
      <w:r>
        <w:rPr>
          <w:sz w:val="24"/>
        </w:rPr>
        <w:t>Thank you very much for your assistance on the Brazil Sub-committee.</w:t>
      </w:r>
    </w:p>
    <w:p>
      <w:pPr>
        <w:pStyle w:val="Normal"/>
        <w:tabs>
          <w:tab w:val="clear" w:pos="720"/>
          <w:tab w:val="left" w:pos="1440" w:leader="none"/>
          <w:tab w:val="left" w:pos="6480" w:leader="none"/>
        </w:tabs>
        <w:spacing w:before="0" w:after="600"/>
        <w:rPr>
          <w:sz w:val="24"/>
        </w:rPr>
      </w:pPr>
      <w:r>
        <w:rPr>
          <w:sz w:val="24"/>
        </w:rPr>
      </w:r>
    </w:p>
    <w:sectPr>
      <w:footerReference w:type="default" r:id="rId4"/>
      <w:type w:val="nextPage"/>
      <w:pgSz w:w="12240" w:h="15840"/>
      <w:pgMar w:left="1440" w:right="1440" w:gutter="0" w:header="0" w:top="28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svc/brl11-8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6480" w:leader="none"/>
      </w:tabs>
      <w:jc w:val="both"/>
      <w:outlineLvl w:val="0"/>
    </w:pPr>
    <w:rPr>
      <w:sz w:val="24"/>
    </w:rPr>
  </w:style>
  <w:style w:type="paragraph" w:styleId="Heading2">
    <w:name w:val="heading 2"/>
    <w:basedOn w:val="Normal"/>
    <w:next w:val="Normal"/>
    <w:qFormat/>
    <w:pPr>
      <w:keepNext w:val="true"/>
      <w:numPr>
        <w:ilvl w:val="1"/>
        <w:numId w:val="1"/>
      </w:numPr>
      <w:outlineLvl w:val="1"/>
    </w:pPr>
    <w:rPr>
      <w:i/>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ohen@emta.org" TargetMode="External"/><Relationship Id="rId3" Type="http://schemas.openxmlformats.org/officeDocument/2006/relationships/hyperlink" Target="mailto:awerner@emta.org"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Byfaxsc</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1999-11-08T15:39:00Z</dcterms:created>
  <dc:creator>Felita Tate</dc:creator>
  <dc:description/>
  <dc:language>en-CA</dc:language>
  <cp:lastModifiedBy>Aviva Werner</cp:lastModifiedBy>
  <cp:lastPrinted>1999-11-09T11:04:00Z</cp:lastPrinted>
  <dcterms:modified xsi:type="dcterms:W3CDTF">1999-11-09T13:35:00Z</dcterms:modified>
  <cp:revision>6</cp:revision>
  <dc:subject/>
  <dc:title>BY FAX</dc:title>
</cp:coreProperties>
</file>