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</w:r>
    </w:p>
    <w:p>
      <w:pPr>
        <w:pStyle w:val="Heading"/>
        <w:rPr/>
      </w:pPr>
      <w:r>
        <w:rPr/>
        <w:t>RAPTOR I DERIVATIVE PROPOSAL SHEET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Heading6"/>
        <w:ind w:hanging="0" w:start="0"/>
        <w:rPr>
          <w:sz w:val="20"/>
        </w:rPr>
      </w:pPr>
      <w:r>
        <w:rPr>
          <w:sz w:val="20"/>
        </w:rPr>
        <w:t>This Proposal Sheet is used to submit proposed derivative transactions to Talon I LLC under the Raptor I structure.  This Proposal Sheet is for Talon’s approval only, and is not in lieu of any other Enron approvals that may be required.</w:t>
      </w:r>
    </w:p>
    <w:p>
      <w:pPr>
        <w:pStyle w:val="Normal"/>
        <w:rPr>
          <w:sz w:val="20"/>
        </w:rPr>
      </w:pPr>
      <w:r>
        <w:rPr>
          <w:sz w:val="20"/>
        </w:rPr>
      </w:r>
    </w:p>
    <w:tbl>
      <w:tblPr>
        <w:tblW w:w="1080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800"/>
      </w:tblGrid>
      <w:tr>
        <w:trPr>
          <w:trHeight w:val="1744" w:hRule="atLeast"/>
        </w:trPr>
        <w:tc>
          <w:tcPr>
            <w:tcW w:w="10800" w:type="dxa"/>
            <w:tcBorders>
              <w:top w:val="single" w:sz="8" w:space="0" w:color="000000"/>
            </w:tcBorders>
          </w:tcPr>
          <w:p>
            <w:pPr>
              <w:pStyle w:val="Heading8"/>
              <w:rPr/>
            </w:pPr>
            <w:r>
              <w:rPr/>
              <w:t>GENERAL</w:t>
            </w:r>
          </w:p>
          <w:p>
            <w:pPr>
              <w:pStyle w:val="Normal"/>
              <w:spacing w:before="0" w:after="120"/>
              <w:rPr/>
            </w:pPr>
            <w:r>
              <w:rPr/>
              <w:t>This transaction is for the Raptor I structure between Harrier I LLC and Talon I LLC</w:t>
            </w:r>
          </w:p>
          <w:p>
            <w:pPr>
              <w:pStyle w:val="Normal"/>
              <w:tabs>
                <w:tab w:val="clear" w:pos="720"/>
                <w:tab w:val="left" w:pos="1530" w:leader="none"/>
              </w:tabs>
              <w:spacing w:before="0" w:after="120"/>
              <w:rPr/>
            </w:pPr>
            <w:r>
              <w:rPr/>
              <w:t>Date Approval Sheet completed: AUGUST 31, 2000</w:t>
            </w:r>
          </w:p>
          <w:p>
            <w:pPr>
              <w:pStyle w:val="Normal"/>
              <w:tabs>
                <w:tab w:val="clear" w:pos="720"/>
                <w:tab w:val="left" w:pos="1530" w:leader="none"/>
              </w:tabs>
              <w:spacing w:before="0" w:after="120"/>
              <w:rPr/>
            </w:pPr>
            <w:r>
              <w:rPr/>
              <w:t>Enron person completing this form:  LISA KING</w:t>
            </w:r>
          </w:p>
          <w:p>
            <w:pPr>
              <w:pStyle w:val="Normal"/>
              <w:tabs>
                <w:tab w:val="clear" w:pos="720"/>
                <w:tab w:val="left" w:pos="1530" w:leader="none"/>
              </w:tabs>
              <w:spacing w:before="0" w:after="120"/>
              <w:rPr/>
            </w:pPr>
            <w:r>
              <w:rPr/>
              <w:t>Expected trade date:  AUGUST 3, 2000</w:t>
            </w:r>
          </w:p>
          <w:p>
            <w:pPr>
              <w:pStyle w:val="Normal"/>
              <w:spacing w:before="0" w:after="120"/>
              <w:rPr/>
            </w:pPr>
            <w:r>
              <w:rPr/>
              <w:t>Business Unit:  ENRON NORTH AMERICA</w:t>
            </w:r>
          </w:p>
          <w:p>
            <w:pPr>
              <w:pStyle w:val="Normal"/>
              <w:ind w:firstLine="90" w:start="-198" w:end="-738"/>
              <w:rPr/>
            </w:pPr>
            <w:r>
              <w:rPr/>
            </w:r>
          </w:p>
        </w:tc>
      </w:tr>
    </w:tbl>
    <w:p>
      <w:pPr>
        <w:pStyle w:val="Normal"/>
        <w:pBdr>
          <w:top w:val="single" w:sz="12" w:space="1" w:color="000000"/>
        </w:pBdr>
        <w:rPr/>
      </w:pPr>
      <w:r>
        <w:rPr>
          <w:b/>
        </w:rPr>
        <w:t>ASSET DESCRIPTION</w:t>
      </w:r>
      <w:r>
        <w:rPr/>
        <w:tab/>
        <w:t>[Insert a detailed description of the underlying asset.]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Brigham Exploration Company, Inc. (“Brigham” or the “Company”) is an independent exploration and production company that applies 3-D seismic imaging and other advanced technologies to systematically explore and develop onshore domestic natural gas and oil properties.  The Company’s exploration activities are concentrated primarily in three core areas: the Anadarko Basin, onshore Gulf Coast, and West Texas.  Brigham is headquartered in Austin, Texas, and was formed and sold to the public in an IPO in February 1997.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Warrants may be exercised at a 1:1 ratio beginning 8/22/98 and expire on 8/22/08</w:t>
      </w:r>
      <w:r>
        <w:rPr>
          <w:rFonts w:cs="Arial" w:ascii="Arial" w:hAnsi="Arial"/>
          <w:color w:val="000000"/>
          <w:sz w:val="18"/>
          <w:lang w:eastAsia="en-US"/>
        </w:rPr>
        <w:t xml:space="preserve">.  </w:t>
      </w:r>
      <w:r>
        <w:rPr/>
        <w:t>Registration rights exist for the underlying common.</w:t>
      </w:r>
    </w:p>
    <w:p>
      <w:pPr>
        <w:pStyle w:val="Normal"/>
        <w:rPr/>
      </w:pPr>
      <w:r>
        <w:rPr/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/>
      </w:pPr>
      <w:r>
        <w:rPr>
          <w:b/>
        </w:rPr>
        <w:t>DETAIL OF DERIVATIVE</w:t>
      </w:r>
      <w:r>
        <w:rPr/>
        <w:tab/>
        <w:t>[Insert a detailed description of the type, stated term and economic terms of the derivative being entered into and attach a copy of the proposed confirmation.]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/>
      </w:pPr>
      <w:r>
        <w:rPr/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/>
      </w:pPr>
      <w:r>
        <w:rPr>
          <w:b/>
        </w:rPr>
        <w:t>LEGAL NAME REPRESENTED BY STOCK:</w:t>
      </w:r>
      <w:r>
        <w:rPr/>
        <w:t xml:space="preserve"> Brigham Exploration Company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/>
      </w:pPr>
      <w:r>
        <w:rPr>
          <w:b/>
        </w:rPr>
        <w:t xml:space="preserve">TICKER SYMBOL: </w:t>
      </w:r>
      <w:r>
        <w:rPr/>
        <w:t>BEXP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/>
      </w:pPr>
      <w:r>
        <w:rPr>
          <w:b/>
        </w:rPr>
        <w:t xml:space="preserve">TYPE OF STOCK: </w:t>
      </w:r>
      <w:r>
        <w:rPr/>
        <w:t>warrants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/>
      </w:pPr>
      <w:r>
        <w:rPr>
          <w:b/>
        </w:rPr>
        <w:t xml:space="preserve">TRADING EXCHANGE: </w:t>
      </w:r>
      <w:r>
        <w:rPr/>
        <w:t>NASDAQ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>
          <w:b/>
        </w:rPr>
      </w:pPr>
      <w:r>
        <w:rPr>
          <w:b/>
        </w:rPr>
        <w:t xml:space="preserve">STRIKE PRICE:  </w:t>
      </w:r>
      <w:r>
        <w:rPr/>
        <w:t>$2.43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>
          <w:b/>
        </w:rPr>
      </w:pPr>
      <w:r>
        <w:rPr>
          <w:b/>
        </w:rPr>
        <w:t>NO. OF SHARES OWNED: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/>
      </w:pPr>
      <w:r>
        <w:rPr>
          <w:b/>
        </w:rPr>
        <w:tab/>
        <w:t xml:space="preserve"> NET</w:t>
      </w:r>
      <w:r>
        <w:rPr/>
        <w:t xml:space="preserve"> – 625,000 warrants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/>
      </w:pPr>
      <w:r>
        <w:rPr>
          <w:b/>
        </w:rPr>
        <w:t>TYPE OF DERIVATIVE:</w:t>
      </w:r>
      <w:r>
        <w:rPr/>
        <w:t xml:space="preserve"> price return swap (no dividends, no interest)</w:t>
      </w:r>
    </w:p>
    <w:p>
      <w:pPr>
        <w:pStyle w:val="Heading1"/>
        <w:ind w:hanging="0" w:start="0" w:end="-216"/>
        <w:rPr/>
      </w:pPr>
      <w:r>
        <w:rPr/>
        <w:t>PREMIUM CALCULATION</w:t>
        <w:tab/>
      </w:r>
      <w:r>
        <w:rPr>
          <w:b w:val="false"/>
        </w:rPr>
        <w:t>[Include a detailed explanation of the assumptions and information used to arrive at the premium, attach all relevant work papers associated with the calculation.]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N/A</w:t>
      </w:r>
    </w:p>
    <w:p>
      <w:pPr>
        <w:pStyle w:val="Header"/>
        <w:widowControl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top w:val="single" w:sz="12" w:space="1" w:color="000000"/>
          <w:bottom w:val="single" w:sz="12" w:space="0" w:color="000000"/>
        </w:pBdr>
        <w:rPr/>
      </w:pPr>
      <w:r>
        <w:rPr>
          <w:b/>
        </w:rPr>
        <w:t>ADDITIONAL INFORMATION</w:t>
      </w:r>
      <w:r>
        <w:rPr/>
        <w:tab/>
        <w:t xml:space="preserve">  [For Public transactions include Harrier filing requirements and for Private transactions include valuation methodology and timing of revaluation.]</w:t>
      </w:r>
    </w:p>
    <w:p>
      <w:pPr>
        <w:pStyle w:val="Normal"/>
        <w:pBdr>
          <w:top w:val="single" w:sz="12" w:space="1" w:color="000000"/>
          <w:bottom w:val="single" w:sz="12" w:space="0" w:color="000000"/>
        </w:pBdr>
        <w:rPr/>
      </w:pPr>
      <w:r>
        <w:rPr/>
      </w:r>
    </w:p>
    <w:p>
      <w:pPr>
        <w:pStyle w:val="Normal"/>
        <w:pBdr>
          <w:top w:val="single" w:sz="12" w:space="1" w:color="000000"/>
          <w:bottom w:val="single" w:sz="12" w:space="0" w:color="000000"/>
        </w:pBdr>
        <w:rPr/>
      </w:pPr>
      <w:r>
        <w:rPr/>
      </w:r>
    </w:p>
    <w:p>
      <w:pPr>
        <w:pStyle w:val="Normal"/>
        <w:pBdr>
          <w:top w:val="single" w:sz="12" w:space="1" w:color="000000"/>
          <w:bottom w:val="single" w:sz="12" w:space="0" w:color="000000"/>
        </w:pBdr>
        <w:jc w:val="center"/>
        <w:rPr/>
      </w:pPr>
      <w:r>
        <w:rPr/>
        <w:t>SEE ATTACHED VALUATION SUPPORT</w:t>
      </w:r>
    </w:p>
    <w:p>
      <w:pPr>
        <w:pStyle w:val="Normal"/>
        <w:pBdr>
          <w:top w:val="single" w:sz="12" w:space="1" w:color="000000"/>
          <w:bottom w:val="single" w:sz="12" w:space="0" w:color="000000"/>
        </w:pBdr>
        <w:rPr/>
      </w:pPr>
      <w:r>
        <w:rPr/>
      </w:r>
    </w:p>
    <w:p>
      <w:pPr>
        <w:pStyle w:val="Normal"/>
        <w:pBdr>
          <w:top w:val="single" w:sz="12" w:space="1" w:color="000000"/>
          <w:bottom w:val="single" w:sz="12" w:space="0" w:color="000000"/>
        </w:pBdr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432" w:right="1008" w:gutter="0" w:header="720" w:top="1008" w:footer="720" w:bottom="1008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2"/>
      </w:rPr>
    </w:pPr>
    <w:r>
      <w:rPr>
        <w:sz w:val="12"/>
      </w:rPr>
      <w:fldChar w:fldCharType="begin"/>
    </w:r>
    <w:r>
      <w:rPr>
        <w:sz w:val="12"/>
      </w:rPr>
      <w:instrText xml:space="preserve"> FILENAME \p </w:instrText>
    </w:r>
    <w:r>
      <w:rPr>
        <w:sz w:val="12"/>
      </w:rPr>
      <w:fldChar w:fldCharType="separate"/>
    </w:r>
    <w:r>
      <w:rPr>
        <w:sz w:val="12"/>
      </w:rPr>
      <w:t>/mnt/main-storage/datasets/enron-docs/doc/Brigham_warrants.doc</w:t>
    </w:r>
    <w:r>
      <w:rPr>
        <w:sz w:val="12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2"/>
        <w:lang w:eastAsia="en-US"/>
      </w:rPr>
    </w:pPr>
    <w:r>
      <w:rPr>
        <w:sz w:val="12"/>
        <w:lang w:eastAsia="en-US"/>
      </w:rPr>
      <w:fldChar w:fldCharType="begin"/>
    </w:r>
    <w:r>
      <w:rPr>
        <w:sz w:val="12"/>
        <w:lang w:eastAsia="en-US"/>
      </w:rPr>
      <w:instrText xml:space="preserve"> FILENAME \p </w:instrText>
    </w:r>
    <w:r>
      <w:rPr>
        <w:sz w:val="12"/>
        <w:lang w:eastAsia="en-US"/>
      </w:rPr>
      <w:fldChar w:fldCharType="separate"/>
    </w:r>
    <w:r>
      <w:rPr>
        <w:sz w:val="12"/>
        <w:lang w:eastAsia="en-US"/>
      </w:rPr>
      <w:t>/mnt/main-storage/datasets/enron-docs/doc/Brigham_warrants.doc</w:t>
    </w:r>
    <w:r>
      <w:rPr>
        <w:sz w:val="12"/>
        <w:lang w:eastAsia="en-US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b/>
      </w:rPr>
    </w:pPr>
    <w:r>
      <w:rPr>
        <w:b/>
      </w:rPr>
      <w:t>LJM APPROVAL SHEET</w:t>
    </w:r>
  </w:p>
  <w:p>
    <w:pPr>
      <w:pStyle w:val="Header"/>
      <w:rPr>
        <w:b/>
      </w:rPr>
    </w:pPr>
    <w:r>
      <w:rPr>
        <w:b/>
      </w:rPr>
      <w:t>Page 2</w:t>
    </w:r>
  </w:p>
  <w:p>
    <w:pPr>
      <w:pStyle w:val="Header"/>
      <w:rPr>
        <w:b/>
      </w:rPr>
    </w:pPr>
    <w:r>
      <w:rPr>
        <w:b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outlineLvl w:val="1"/>
    </w:pPr>
    <w:rPr>
      <w:b/>
      <w:i/>
      <w:sz w:val="20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ind w:hanging="0" w:start="0" w:end="-1196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pBdr>
        <w:top w:val="single" w:sz="4" w:space="1" w:color="000000"/>
      </w:pBdr>
      <w:tabs>
        <w:tab w:val="clear" w:pos="720"/>
        <w:tab w:val="left" w:pos="9990" w:leader="none"/>
      </w:tabs>
      <w:ind w:hanging="0" w:start="0" w:end="-36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end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both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outlineLvl w:val="6"/>
    </w:pPr>
    <w:rPr>
      <w:b/>
      <w:i/>
      <w:sz w:val="20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spacing w:before="0" w:after="120"/>
      <w:ind w:hanging="0" w:start="0" w:end="792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 w:val="true"/>
      <w:widowControl w:val="false"/>
      <w:numPr>
        <w:ilvl w:val="8"/>
        <w:numId w:val="1"/>
      </w:numPr>
      <w:tabs>
        <w:tab w:val="clear" w:pos="720"/>
        <w:tab w:val="left" w:pos="2870" w:leader="none"/>
        <w:tab w:val="left" w:pos="3617" w:leader="none"/>
      </w:tabs>
      <w:ind w:hanging="0" w:start="420" w:end="-217"/>
      <w:outlineLvl w:val="8"/>
    </w:pPr>
    <w:rPr>
      <w:b/>
      <w:sz w:val="20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>
      <w:sz w:val="20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/>
    <w:rPr>
      <w:sz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</w:pPr>
    <w:rPr>
      <w:sz w:val="20"/>
    </w:rPr>
  </w:style>
  <w:style w:type="paragraph" w:styleId="BodyText3">
    <w:name w:val="Body Text 3"/>
    <w:basedOn w:val="Normal"/>
    <w:qFormat/>
    <w:pPr>
      <w:widowControl w:val="false"/>
    </w:pPr>
    <w:rPr>
      <w:color w:val="FF0000"/>
      <w:sz w:val="20"/>
    </w:rPr>
  </w:style>
  <w:style w:type="paragraph" w:styleId="Footer">
    <w:name w:val="foot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</w:pPr>
    <w:rPr>
      <w:sz w:val="20"/>
    </w:rPr>
  </w:style>
  <w:style w:type="paragraph" w:styleId="BodyText2">
    <w:name w:val="Body Text 2"/>
    <w:basedOn w:val="Normal"/>
    <w:qFormat/>
    <w:pPr/>
    <w:rPr>
      <w:color w:val="FF0000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Header"/>
    <w:qFormat/>
    <w:pPr>
      <w:suppressLineNumbers/>
      <w:tabs>
        <w:tab w:val="clear" w:pos="4320"/>
        <w:tab w:val="clear" w:pos="8640"/>
        <w:tab w:val="center" w:pos="5400" w:leader="none"/>
        <w:tab w:val="right" w:pos="1080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2000-08-30T20:39:00Z</dcterms:created>
  <dc:creator>mruane</dc:creator>
  <dc:description>MR: 9-20-99 added tax signoff</dc:description>
  <dc:language>en-CA</dc:language>
  <cp:lastModifiedBy>Lisa M. King</cp:lastModifiedBy>
  <cp:lastPrinted>2000-09-01T15:37:00Z</cp:lastPrinted>
  <dcterms:modified xsi:type="dcterms:W3CDTF">2000-09-01T18:07:00Z</dcterms:modified>
  <cp:revision>8</cp:revision>
  <dc:subject/>
  <dc:title>ENRON RISK ASSESSMENT AND CONTROL</dc:title>
</cp:coreProperties>
</file>