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Briefing Memo - Overview of SDDP and PoolMod</w:t>
      </w:r>
    </w:p>
    <w:p>
      <w:pPr>
        <w:pStyle w:val="Normal"/>
        <w:jc w:val="both"/>
        <w:rPr>
          <w:rFonts w:ascii="Book Antiqua" w:hAnsi="Book Antiqua" w:cs="Book Antiqua"/>
          <w:b/>
          <w:sz w:val="24"/>
        </w:rPr>
      </w:pPr>
      <w:r>
        <w:rPr>
          <w:rFonts w:cs="Book Antiqua" w:ascii="Book Antiqua" w:hAnsi="Book Antiqua"/>
          <w:b/>
          <w:sz w:val="24"/>
        </w:rPr>
      </w:r>
    </w:p>
    <w:p>
      <w:pPr>
        <w:pStyle w:val="Heading1"/>
        <w:ind w:hanging="0" w:start="0"/>
        <w:rPr/>
      </w:pPr>
      <w:r>
        <w:rPr/>
        <w:t>Executive summary</w:t>
      </w:r>
    </w:p>
    <w:p>
      <w:pPr>
        <w:pStyle w:val="Normal"/>
        <w:jc w:val="both"/>
        <w:rPr>
          <w:rFonts w:ascii="Book Antiqua" w:hAnsi="Book Antiqua" w:cs="Book Antiqua"/>
          <w:b/>
          <w:sz w:val="22"/>
        </w:rPr>
      </w:pPr>
      <w:r>
        <w:rPr>
          <w:rFonts w:cs="Book Antiqua" w:ascii="Book Antiqua" w:hAnsi="Book Antiqua"/>
          <w:sz w:val="22"/>
        </w:rPr>
        <w:t xml:space="preserve">The use of Stochastic Dual Dynamic Program (SDDP) for dispatch in Central America raises questions about the appropriateness of PoolMod for the current price forecasting exercise. This memo demonstrates that PoolMod is more appropriate than SDDP for long-term forecasting, primarily because of the distortions resulting from the way SDDP aggregates demand when used in its long-term forecasting mode. For shorter-term forecasting exercises, however, such distortions are less severe, and may be compensated for by SDDP’s close attention to hydro system dynamics. In the extreme short run (one to two weeks), SDDP does not aggregate demand, and its forecasts can be expected to be very accurate. Major characteristics of SDDP and PoolMod are presented in </w:t>
      </w:r>
      <w:r>
        <w:rPr>
          <w:rFonts w:cs="Book Antiqua" w:ascii="Book Antiqua" w:hAnsi="Book Antiqua"/>
          <w:sz w:val="22"/>
        </w:rPr>
        <w:fldChar w:fldCharType="begin"/>
      </w:r>
      <w:r>
        <w:rPr>
          <w:sz w:val="22"/>
          <w:rFonts w:cs="Book Antiqua" w:ascii="Book Antiqua" w:hAnsi="Book Antiqua"/>
        </w:rPr>
        <w:instrText xml:space="preserve"> REF _Ref464546481 \h </w:instrText>
      </w:r>
      <w:r>
        <w:rPr>
          <w:sz w:val="22"/>
          <w:rFonts w:cs="Book Antiqua" w:ascii="Book Antiqua" w:hAnsi="Book Antiqua"/>
        </w:rPr>
        <w:fldChar w:fldCharType="separate"/>
      </w:r>
      <w:r>
        <w:rPr>
          <w:sz w:val="22"/>
          <w:rFonts w:cs="Book Antiqua" w:ascii="Book Antiqua" w:hAnsi="Book Antiqua"/>
        </w:rPr>
        <w:t>Table 1</w:t>
      </w:r>
      <w:r>
        <w:rPr>
          <w:sz w:val="22"/>
          <w:rFonts w:cs="Book Antiqua" w:ascii="Book Antiqua" w:hAnsi="Book Antiqua"/>
        </w:rPr>
        <w:fldChar w:fldCharType="end"/>
      </w:r>
      <w:r>
        <w:rPr>
          <w:rFonts w:cs="Book Antiqua" w:ascii="Book Antiqua" w:hAnsi="Book Antiqua"/>
          <w:sz w:val="22"/>
        </w:rPr>
        <w:t xml:space="preserve">, below. </w:t>
      </w:r>
    </w:p>
    <w:p>
      <w:pPr>
        <w:pStyle w:val="FaxNormal"/>
        <w:suppressAutoHyphens w:val="false"/>
        <w:rPr>
          <w:rFonts w:eastAsia="Book Antiqua"/>
        </w:rPr>
      </w:pPr>
      <w:r>
        <w:rPr>
          <w:rFonts w:eastAsia="Book Antiqua"/>
        </w:rPr>
        <w:t xml:space="preserve"> </w:t>
      </w:r>
    </w:p>
    <w:p>
      <w:pPr>
        <w:pStyle w:val="Caption"/>
        <w:keepNext w:val="true"/>
        <w:pBdr>
          <w:top w:val="single" w:sz="4" w:space="1" w:color="000000"/>
          <w:left w:val="single" w:sz="4" w:space="4" w:color="000000"/>
          <w:bottom w:val="single" w:sz="4" w:space="1" w:color="000000"/>
          <w:right w:val="single" w:sz="4" w:space="4" w:color="000000"/>
        </w:pBdr>
        <w:jc w:val="both"/>
        <w:rPr>
          <w:rFonts w:ascii="Book Antiqua" w:hAnsi="Book Antiqua" w:cs="Book Antiqua"/>
          <w:sz w:val="22"/>
        </w:rPr>
      </w:pPr>
      <w:bookmarkStart w:id="0" w:name="_Ref464546481"/>
      <w:r>
        <w:rPr>
          <w:rFonts w:cs="Book Antiqua" w:ascii="Book Antiqua" w:hAnsi="Book Antiqua"/>
          <w:sz w:val="22"/>
        </w:rPr>
        <w:t xml:space="preserve">Table </w:t>
      </w:r>
      <w:r>
        <w:rPr>
          <w:rFonts w:cs="Book Antiqua" w:ascii="Book Antiqua" w:hAnsi="Book Antiqua"/>
          <w:sz w:val="22"/>
        </w:rPr>
        <w:fldChar w:fldCharType="begin"/>
      </w:r>
      <w:r>
        <w:rPr>
          <w:sz w:val="22"/>
          <w:rFonts w:cs="Book Antiqua" w:ascii="Book Antiqua" w:hAnsi="Book Antiqua"/>
        </w:rPr>
        <w:instrText xml:space="preserve"> SEQ Table \* ARABIC </w:instrText>
      </w:r>
      <w:r>
        <w:rPr>
          <w:sz w:val="22"/>
          <w:rFonts w:cs="Book Antiqua" w:ascii="Book Antiqua" w:hAnsi="Book Antiqua"/>
        </w:rPr>
        <w:fldChar w:fldCharType="separate"/>
      </w:r>
      <w:r>
        <w:rPr>
          <w:sz w:val="22"/>
          <w:rFonts w:cs="Book Antiqua" w:ascii="Book Antiqua" w:hAnsi="Book Antiqua"/>
        </w:rPr>
        <w:t>1</w:t>
      </w:r>
      <w:r>
        <w:rPr>
          <w:sz w:val="22"/>
          <w:rFonts w:cs="Book Antiqua" w:ascii="Book Antiqua" w:hAnsi="Book Antiqua"/>
        </w:rPr>
        <w:fldChar w:fldCharType="end"/>
      </w:r>
      <w:bookmarkEnd w:id="0"/>
      <w:r>
        <w:rPr>
          <w:rFonts w:cs="Book Antiqua" w:ascii="Book Antiqua" w:hAnsi="Book Antiqua"/>
          <w:sz w:val="22"/>
          <w:lang w:val="en-CA"/>
        </w:rPr>
        <w:t>. Characteristics of SDDP and PoolMod</w:t>
      </w:r>
    </w:p>
    <w:p>
      <w:pPr>
        <w:pStyle w:val="Normal"/>
        <w:pBdr>
          <w:top w:val="single" w:sz="4" w:space="1" w:color="000000"/>
          <w:left w:val="single" w:sz="4" w:space="4" w:color="000000"/>
          <w:bottom w:val="single" w:sz="4" w:space="1" w:color="000000"/>
          <w:right w:val="single" w:sz="4" w:space="4" w:color="000000"/>
        </w:pBdr>
        <w:jc w:val="both"/>
        <w:rPr>
          <w:rFonts w:ascii="Book Antiqua" w:hAnsi="Book Antiqua" w:cs="Book Antiqua"/>
          <w:sz w:val="22"/>
        </w:rPr>
      </w:pPr>
      <w:r>
        <w:rPr/>
        <w:drawing>
          <wp:inline distT="0" distB="0" distL="0" distR="0">
            <wp:extent cx="5941060" cy="24682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13" r="-5" b="-13"/>
                    <a:stretch>
                      <a:fillRect/>
                    </a:stretch>
                  </pic:blipFill>
                  <pic:spPr bwMode="auto">
                    <a:xfrm>
                      <a:off x="0" y="0"/>
                      <a:ext cx="5941060" cy="2468245"/>
                    </a:xfrm>
                    <a:prstGeom prst="rect">
                      <a:avLst/>
                    </a:prstGeom>
                    <a:noFill/>
                  </pic:spPr>
                </pic:pic>
              </a:graphicData>
            </a:graphic>
          </wp:inline>
        </w:drawing>
      </w:r>
    </w:p>
    <w:p>
      <w:pPr>
        <w:pStyle w:val="Normal"/>
        <w:jc w:val="both"/>
        <w:rPr>
          <w:rFonts w:ascii="Book Antiqua" w:hAnsi="Book Antiqua" w:cs="Book Antiqua"/>
          <w:b/>
          <w:sz w:val="22"/>
        </w:rPr>
      </w:pPr>
      <w:r>
        <w:rPr>
          <w:rFonts w:cs="Book Antiqua" w:ascii="Book Antiqua" w:hAnsi="Book Antiqua"/>
          <w:b/>
          <w:sz w:val="22"/>
        </w:rPr>
      </w:r>
    </w:p>
    <w:p>
      <w:pPr>
        <w:pStyle w:val="Heading1"/>
        <w:ind w:hanging="0" w:start="0"/>
        <w:rPr/>
      </w:pPr>
      <w:r>
        <w:rPr/>
        <w:t>About SDDP</w:t>
      </w:r>
      <w:r>
        <w:rPr>
          <w:rStyle w:val="FootnoteCharacters"/>
          <w:rStyle w:val="FootnoteReference"/>
        </w:rPr>
        <w:footnoteReference w:id="2"/>
      </w:r>
      <w:r>
        <w:rPr/>
        <w:t xml:space="preserve"> </w:t>
      </w:r>
    </w:p>
    <w:p>
      <w:pPr>
        <w:pStyle w:val="FaxNormal"/>
        <w:suppressAutoHyphens w:val="false"/>
        <w:rPr/>
      </w:pPr>
      <w:r>
        <w:rPr/>
        <w:t xml:space="preserve">SDDP was designed primarily to schedule and dispatch plant according to least cost in hydro-dominated systems. The program is used in a number of countries in Central and South America for these purposes. The program can also be used for long-term price forecasting, with some limitations. </w:t>
      </w:r>
    </w:p>
    <w:p>
      <w:pPr>
        <w:pStyle w:val="FaxNormal"/>
        <w:suppressAutoHyphens w:val="false"/>
        <w:rPr/>
      </w:pPr>
      <w:r>
        <w:rPr/>
      </w:r>
    </w:p>
    <w:p>
      <w:pPr>
        <w:pStyle w:val="FaxNormal"/>
        <w:suppressAutoHyphens w:val="false"/>
        <w:rPr/>
      </w:pPr>
      <w:r>
        <w:rPr/>
        <w:t xml:space="preserve">Dispatching plant according to least cost is not especially complicated, as long as plant operating constraints and marginal costs are known. The difficulty comes in optimizing use of hydro resources, since doing so requires determining the value of the water behind the dams of storage hydro facilities, and that value is contingent upon both current and future system conditions, as well as upon the value of lost load. Complicating matters, decisions taken today often impact future conditions. </w:t>
      </w:r>
    </w:p>
    <w:p>
      <w:pPr>
        <w:pStyle w:val="FaxNormal"/>
        <w:suppressAutoHyphens w:val="false"/>
        <w:rPr/>
      </w:pPr>
      <w:r>
        <w:rPr/>
      </w:r>
    </w:p>
    <w:p>
      <w:pPr>
        <w:pStyle w:val="FaxNormal"/>
        <w:suppressAutoHyphens w:val="false"/>
        <w:rPr/>
      </w:pPr>
      <w:r>
        <w:rPr/>
        <w:t xml:space="preserve">To understand how SDDP optimizes hydro operations, it is important to understand the basic question it is trying to answer. This question is: “Is it better to generate electricity now using stored water, or to save the water and use it to generate sometime later?” SDDP takes the following approach to answering this question. </w:t>
      </w:r>
    </w:p>
    <w:p>
      <w:pPr>
        <w:pStyle w:val="FaxNormal"/>
        <w:suppressAutoHyphens w:val="false"/>
        <w:rPr/>
      </w:pPr>
      <w:r>
        <w:rPr/>
      </w:r>
    </w:p>
    <w:p>
      <w:pPr>
        <w:pStyle w:val="FaxNormal"/>
        <w:suppressAutoHyphens w:val="false"/>
        <w:rPr/>
      </w:pPr>
      <w:r>
        <w:rPr/>
        <w:tab/>
      </w:r>
      <w:r>
        <w:rPr>
          <w:b/>
          <w:i/>
        </w:rPr>
        <w:t>Step 1.</w:t>
      </w:r>
      <w:r>
        <w:rPr/>
        <w:t xml:space="preserve"> SDDP uses historical hydrological information to generate 50 “synthetic” hydrological years. The synthetic years are generated by taking the results of an econometric hydrology forecasting model and assigning values to the error term through the use of a distribution function. Suppose for example, that the basic econometric model were as follows: </w:t>
      </w:r>
    </w:p>
    <w:p>
      <w:pPr>
        <w:pStyle w:val="FaxNormal"/>
        <w:suppressAutoHyphens w:val="false"/>
        <w:rPr/>
      </w:pPr>
      <w:r>
        <w:rPr/>
      </w:r>
    </w:p>
    <w:p>
      <w:pPr>
        <w:pStyle w:val="FaxNormal"/>
        <w:suppressAutoHyphens w:val="false"/>
        <w:jc w:val="center"/>
        <w:rPr/>
      </w:pPr>
      <w:r>
        <w:rPr/>
        <w:t>Y</w:t>
      </w:r>
      <w:r>
        <w:rPr>
          <w:vertAlign w:val="subscript"/>
        </w:rPr>
        <w:t>t</w:t>
      </w:r>
      <w:r>
        <w:rPr/>
        <w:t xml:space="preserve"> = </w:t>
      </w:r>
      <w:r>
        <w:rPr>
          <w:rFonts w:eastAsia="Symbol" w:cs="Symbol" w:ascii="Symbol" w:hAnsi="Symbol"/>
        </w:rPr>
        <w:sym w:font="Symbol" w:char="f062"/>
      </w:r>
      <w:r>
        <w:rPr>
          <w:vertAlign w:val="subscript"/>
        </w:rPr>
        <w:t xml:space="preserve"> t</w:t>
      </w:r>
      <w:r>
        <w:rPr/>
        <w:t xml:space="preserve"> + </w:t>
      </w:r>
      <w:r>
        <w:rPr>
          <w:rFonts w:eastAsia="Symbol" w:cs="Symbol" w:ascii="Symbol" w:hAnsi="Symbol"/>
        </w:rPr>
        <w:sym w:font="Symbol" w:char="f061"/>
      </w:r>
      <w:r>
        <w:rPr/>
        <w:t>Y</w:t>
      </w:r>
      <w:r>
        <w:rPr>
          <w:vertAlign w:val="subscript"/>
        </w:rPr>
        <w:t>t-1</w:t>
      </w:r>
      <w:r>
        <w:rPr/>
        <w:t xml:space="preserve"> + </w:t>
      </w:r>
      <w:r>
        <w:rPr>
          <w:rFonts w:eastAsia="Symbol" w:cs="Symbol" w:ascii="Symbol" w:hAnsi="Symbol"/>
        </w:rPr>
        <w:sym w:font="Symbol" w:char="f065"/>
      </w:r>
      <w:r>
        <w:rPr>
          <w:vertAlign w:val="subscript"/>
        </w:rPr>
        <w:t xml:space="preserve"> t</w:t>
      </w:r>
    </w:p>
    <w:p>
      <w:pPr>
        <w:pStyle w:val="FaxNormal"/>
        <w:suppressAutoHyphens w:val="false"/>
        <w:rPr/>
      </w:pPr>
      <w:r>
        <w:rPr/>
      </w:r>
    </w:p>
    <w:p>
      <w:pPr>
        <w:pStyle w:val="FaxNormal"/>
        <w:suppressAutoHyphens w:val="false"/>
        <w:rPr/>
      </w:pPr>
      <w:r>
        <w:rPr/>
        <w:t>Where:</w:t>
      </w:r>
    </w:p>
    <w:p>
      <w:pPr>
        <w:pStyle w:val="FaxNormal"/>
        <w:numPr>
          <w:ilvl w:val="0"/>
          <w:numId w:val="3"/>
        </w:numPr>
        <w:suppressAutoHyphens w:val="false"/>
        <w:rPr/>
      </w:pPr>
      <w:r>
        <w:rPr/>
        <w:t>Y</w:t>
      </w:r>
      <w:r>
        <w:rPr>
          <w:vertAlign w:val="subscript"/>
        </w:rPr>
        <w:t>t</w:t>
      </w:r>
      <w:r>
        <w:rPr/>
        <w:t xml:space="preserve"> is the inflows to reservoirs in a given month; </w:t>
      </w:r>
    </w:p>
    <w:p>
      <w:pPr>
        <w:pStyle w:val="FaxNormal"/>
        <w:numPr>
          <w:ilvl w:val="0"/>
          <w:numId w:val="3"/>
        </w:numPr>
        <w:suppressAutoHyphens w:val="false"/>
        <w:rPr/>
      </w:pPr>
      <w:r>
        <w:rPr>
          <w:rFonts w:eastAsia="Symbol" w:cs="Symbol" w:ascii="Symbol" w:hAnsi="Symbol"/>
        </w:rPr>
        <w:sym w:font="Symbol" w:char="f062"/>
      </w:r>
      <w:r>
        <w:rPr>
          <w:vertAlign w:val="subscript"/>
        </w:rPr>
        <w:t>t</w:t>
      </w:r>
      <w:r>
        <w:rPr/>
        <w:t xml:space="preserve"> is the estimated constant for a given month; </w:t>
      </w:r>
    </w:p>
    <w:p>
      <w:pPr>
        <w:pStyle w:val="FaxNormal"/>
        <w:numPr>
          <w:ilvl w:val="0"/>
          <w:numId w:val="3"/>
        </w:numPr>
        <w:suppressAutoHyphens w:val="false"/>
        <w:rPr/>
      </w:pPr>
      <w:r>
        <w:rPr>
          <w:rFonts w:eastAsia="Symbol" w:cs="Symbol" w:ascii="Symbol" w:hAnsi="Symbol"/>
        </w:rPr>
        <w:sym w:font="Symbol" w:char="f061"/>
      </w:r>
      <w:r>
        <w:rPr>
          <w:rFonts w:eastAsia="Book Antiqua"/>
        </w:rPr>
        <w:t xml:space="preserve"> </w:t>
      </w:r>
      <w:r>
        <w:rPr/>
        <w:t xml:space="preserve">is the estimated coefficient of determination; </w:t>
      </w:r>
    </w:p>
    <w:p>
      <w:pPr>
        <w:pStyle w:val="FaxNormal"/>
        <w:numPr>
          <w:ilvl w:val="0"/>
          <w:numId w:val="3"/>
        </w:numPr>
        <w:suppressAutoHyphens w:val="false"/>
        <w:rPr/>
      </w:pPr>
      <w:r>
        <w:rPr/>
        <w:t>Y</w:t>
      </w:r>
      <w:r>
        <w:rPr>
          <w:vertAlign w:val="subscript"/>
        </w:rPr>
        <w:t>t-1</w:t>
      </w:r>
      <w:r>
        <w:rPr/>
        <w:t xml:space="preserve"> is the inflows in the previous month; and </w:t>
      </w:r>
    </w:p>
    <w:p>
      <w:pPr>
        <w:pStyle w:val="FaxNormal"/>
        <w:numPr>
          <w:ilvl w:val="0"/>
          <w:numId w:val="3"/>
        </w:numPr>
        <w:suppressAutoHyphens w:val="false"/>
        <w:rPr/>
      </w:pPr>
      <w:r>
        <w:rPr>
          <w:rFonts w:eastAsia="Symbol" w:cs="Symbol" w:ascii="Symbol" w:hAnsi="Symbol"/>
        </w:rPr>
        <w:sym w:font="Symbol" w:char="f065"/>
      </w:r>
      <w:r>
        <w:rPr>
          <w:rFonts w:eastAsia="Book Antiqua"/>
          <w:vertAlign w:val="subscript"/>
        </w:rPr>
        <w:t xml:space="preserve"> </w:t>
      </w:r>
      <w:r>
        <w:rPr>
          <w:vertAlign w:val="subscript"/>
        </w:rPr>
        <w:t>t</w:t>
      </w:r>
      <w:r>
        <w:rPr/>
        <w:t xml:space="preserve"> is the error term;</w:t>
      </w:r>
      <w:r>
        <w:rPr>
          <w:rStyle w:val="FootnoteCharacters"/>
          <w:rStyle w:val="FootnoteReference"/>
        </w:rPr>
        <w:footnoteReference w:id="3"/>
      </w:r>
      <w:r>
        <w:rPr/>
        <w:t xml:space="preserve"> </w:t>
      </w:r>
    </w:p>
    <w:p>
      <w:pPr>
        <w:pStyle w:val="FaxNormal"/>
        <w:suppressAutoHyphens w:val="false"/>
        <w:rPr/>
      </w:pPr>
      <w:r>
        <w:rPr/>
      </w:r>
    </w:p>
    <w:p>
      <w:pPr>
        <w:pStyle w:val="FaxNormal"/>
        <w:suppressAutoHyphens w:val="false"/>
        <w:rPr/>
      </w:pPr>
      <w:r>
        <w:rPr/>
        <w:t>This model would be used to generate expected inflows for each month in a given year. Assuming the model has been correctly specified, the forecast error can be expected to be normally distributed, with a mean of zero. By defining a distribution function for the error accordingly, the “error” for 50 years is generated.</w:t>
      </w:r>
      <w:r>
        <w:rPr>
          <w:rStyle w:val="FootnoteCharacters"/>
          <w:rStyle w:val="FootnoteReference"/>
        </w:rPr>
        <w:footnoteReference w:id="4"/>
      </w:r>
      <w:r>
        <w:rPr/>
        <w:t xml:space="preserve"> That error is then added back to the fixed expected inflow values to yield 50 synthetic years. These synthetic years are to be thought of as 50 different equally plausible outcomes for the next hydrological year, rather than as 50 consecutive years.</w:t>
      </w:r>
      <w:r>
        <w:rPr>
          <w:rStyle w:val="FootnoteCharacters"/>
        </w:rPr>
        <w:t xml:space="preserve"> </w:t>
      </w:r>
      <w:r>
        <w:rPr>
          <w:rStyle w:val="FootnoteCharacters"/>
          <w:rStyle w:val="FootnoteReference"/>
        </w:rPr>
        <w:footnoteReference w:id="5"/>
      </w:r>
    </w:p>
    <w:p>
      <w:pPr>
        <w:pStyle w:val="FaxNormal"/>
        <w:suppressAutoHyphens w:val="false"/>
        <w:rPr/>
      </w:pPr>
      <w:r>
        <w:rPr/>
      </w:r>
    </w:p>
    <w:p>
      <w:pPr>
        <w:pStyle w:val="FaxNormal"/>
        <w:suppressAutoHyphens w:val="false"/>
        <w:rPr/>
      </w:pPr>
      <w:r>
        <w:rPr/>
        <w:tab/>
      </w:r>
      <w:r>
        <w:rPr>
          <w:b/>
          <w:i/>
        </w:rPr>
        <w:t xml:space="preserve">Step 2. </w:t>
      </w:r>
      <w:r>
        <w:rPr/>
        <w:t>SDDP develops a shadow price</w:t>
      </w:r>
      <w:r>
        <w:rPr>
          <w:rStyle w:val="FootnoteCharacters"/>
          <w:rStyle w:val="FootnoteReference"/>
        </w:rPr>
        <w:footnoteReference w:id="6"/>
      </w:r>
      <w:r>
        <w:rPr/>
        <w:t xml:space="preserve"> for hydro to be used in dispatch by developing hydro operation “policies.” There are various planning modes (with different time horizons) involved in creating these policies. Each of these planning modes can be divided into a maximum of 5 demand blocks; in some countries in Central America, planning modes are divided into three demand blocks. The first stage of the process involves setting a hydro operation policy for the next operational year. This policy will be the hydro system operational plan that minimizes total system cost for 50 simulations using the hydrology for each of the 50 synthetic years. </w:t>
      </w:r>
    </w:p>
    <w:p>
      <w:pPr>
        <w:pStyle w:val="FaxNormal"/>
        <w:suppressAutoHyphens w:val="false"/>
        <w:rPr/>
      </w:pPr>
      <w:r>
        <w:rPr/>
      </w:r>
    </w:p>
    <w:p>
      <w:pPr>
        <w:pStyle w:val="FaxNormal"/>
        <w:suppressAutoHyphens w:val="false"/>
        <w:rPr/>
      </w:pPr>
      <w:r>
        <w:rPr/>
        <w:t xml:space="preserve">The policy for the coming year is conducted in the month-long planning mode, and gives the starting and ending reservoir levels for storage hydro facilities each month that would result if the policy were followed. The analysis then moves into the week-long planning mode, and gives the optimal starting and ending hydro levels for each week, while making sure to start with that month’s starting reservoir levels, and to end with that month’s ending reservoir level. The final stage of the analysis takes place in the day-long planning mode, and the same process is used to develop a hydro policy for each day. The shadow price for each storage facility’s water in the coming day is determined by finding the maximum price that would result in hydro plants using the amount of water that is specified by the policy. That price will be equal to the cost of generation that would have had to be incurred if the unit did not generate.  Once the daily shadow price for each storage hydro unit is known, least cost dispatch is straightforward.  </w:t>
      </w:r>
    </w:p>
    <w:p>
      <w:pPr>
        <w:pStyle w:val="FaxNormal"/>
        <w:suppressAutoHyphens w:val="false"/>
        <w:rPr/>
      </w:pPr>
      <w:r>
        <w:rPr/>
      </w:r>
    </w:p>
    <w:p>
      <w:pPr>
        <w:pStyle w:val="FaxNormal"/>
        <w:suppressAutoHyphens w:val="false"/>
        <w:rPr/>
      </w:pPr>
      <w:r>
        <w:rPr/>
        <w:t xml:space="preserve">It is practically impossible to use SDDP in its day-long planning mode for long-term price forecasting, because SDDP cannot look forward for more than 168 hours (one week) in this mode. A 15-year forecast, for example, would involve 780 consecutive SDDP runs. This means that long-term forecasts effectively have to be conducted using planning modes of a week or a month. Even when used in its week-long planning mode, however, SDDP can look forward no further than 168 weeks, or about 3.2 years. Therefore, conducting a forecast of 7 or more years (as in the current forecasting exercise) using SDDP would result in having to conduct three consecutive runs for each scenario. </w:t>
      </w:r>
    </w:p>
    <w:p>
      <w:pPr>
        <w:pStyle w:val="FaxNormal"/>
        <w:suppressAutoHyphens w:val="false"/>
        <w:rPr/>
      </w:pPr>
      <w:r>
        <w:rPr/>
      </w:r>
    </w:p>
    <w:p>
      <w:pPr>
        <w:pStyle w:val="FaxNormal"/>
        <w:suppressAutoHyphens w:val="false"/>
        <w:rPr/>
      </w:pPr>
      <w:r>
        <w:rPr/>
        <w:t xml:space="preserve">In practical terms, this means that it would be necessary to use SDDP in its month-long planning mode for such long-term modeling exercises. The prices developed in such a way would be the prices prevailing in each of the three to five demand blocks of each month. These prices are likely to be considerably different than those resulting from hourly dispatch, as will be made clear later. </w:t>
      </w:r>
    </w:p>
    <w:p>
      <w:pPr>
        <w:pStyle w:val="FaxNormal"/>
        <w:suppressAutoHyphens w:val="false"/>
        <w:rPr/>
      </w:pPr>
      <w:r>
        <w:rPr/>
      </w:r>
    </w:p>
    <w:p>
      <w:pPr>
        <w:pStyle w:val="Heading1"/>
        <w:ind w:hanging="0" w:start="0"/>
        <w:rPr/>
      </w:pPr>
      <w:r>
        <w:rPr/>
        <w:t>About PoolMod</w:t>
      </w:r>
    </w:p>
    <w:p>
      <w:pPr>
        <w:pStyle w:val="FaxNormal"/>
        <w:suppressAutoHyphens w:val="false"/>
        <w:rPr/>
      </w:pPr>
      <w:r>
        <w:rPr/>
        <w:t>PoolMod is a production-cost price forecasting program originally developed by London Economics for use in the England and Wales electricity market. PoolMod simulates dispatch of system resources on a half-hourly basis for every day of the year, for a maximum of 25 years, dispatching individual plants to meet projected regional load and reserve requirements.</w:t>
      </w:r>
      <w:r>
        <w:rPr>
          <w:rStyle w:val="FootnoteCharacters"/>
          <w:rStyle w:val="FootnoteReference"/>
        </w:rPr>
        <w:footnoteReference w:id="7"/>
      </w:r>
      <w:r>
        <w:rPr/>
        <w:t xml:space="preserve"> London Economics has used PoolMod to develop electricity price forecasts in a large number of markets. In the US, these markets include the Midwest (MAIN/ECAR), NEPOOL, NYPP, PJM, ERCOT, MAPP, and California.  PoolMod has also been used in a variety of international markets, including Canada (Alberta and Ontario), Colombia, Perú, Panamá, England and Wales, Italy, Spain, Australia, New Zealand and South Africa.</w:t>
      </w:r>
    </w:p>
    <w:p>
      <w:pPr>
        <w:pStyle w:val="FaxNormal"/>
        <w:suppressAutoHyphens w:val="false"/>
        <w:rPr/>
      </w:pPr>
      <w:r>
        <w:rPr/>
      </w:r>
    </w:p>
    <w:p>
      <w:pPr>
        <w:pStyle w:val="FaxNormal"/>
        <w:suppressAutoHyphens w:val="false"/>
        <w:rPr/>
      </w:pPr>
      <w:r>
        <w:rPr/>
        <w:t xml:space="preserve">Poolmod operates using a three-tiered framework: </w:t>
      </w:r>
    </w:p>
    <w:p>
      <w:pPr>
        <w:pStyle w:val="Normal"/>
        <w:jc w:val="both"/>
        <w:rPr>
          <w:rFonts w:ascii="Book Antiqua" w:hAnsi="Book Antiqua" w:cs="Book Antiqua"/>
          <w:sz w:val="22"/>
        </w:rPr>
      </w:pPr>
      <w:r>
        <w:rPr>
          <w:rFonts w:cs="Book Antiqua" w:ascii="Book Antiqua" w:hAnsi="Book Antiqua"/>
          <w:sz w:val="22"/>
        </w:rPr>
      </w:r>
    </w:p>
    <w:p>
      <w:pPr>
        <w:pStyle w:val="Normal"/>
        <w:numPr>
          <w:ilvl w:val="0"/>
          <w:numId w:val="2"/>
        </w:numPr>
        <w:jc w:val="both"/>
        <w:rPr>
          <w:rFonts w:ascii="Book Antiqua" w:hAnsi="Book Antiqua" w:cs="Book Antiqua"/>
          <w:sz w:val="22"/>
        </w:rPr>
      </w:pPr>
      <w:r>
        <w:rPr>
          <w:rFonts w:cs="Book Antiqua" w:ascii="Book Antiqua" w:hAnsi="Book Antiqua"/>
          <w:sz w:val="22"/>
        </w:rPr>
        <w:t>Scheduling maintenance for plants on a yearly basis.</w:t>
      </w:r>
    </w:p>
    <w:p>
      <w:pPr>
        <w:pStyle w:val="Normal"/>
        <w:jc w:val="both"/>
        <w:rPr>
          <w:rFonts w:ascii="Book Antiqua" w:hAnsi="Book Antiqua" w:cs="Book Antiqua"/>
          <w:sz w:val="22"/>
        </w:rPr>
      </w:pPr>
      <w:r>
        <w:rPr>
          <w:rFonts w:cs="Book Antiqua" w:ascii="Book Antiqua" w:hAnsi="Book Antiqua"/>
          <w:sz w:val="22"/>
        </w:rPr>
      </w:r>
    </w:p>
    <w:p>
      <w:pPr>
        <w:pStyle w:val="Normal"/>
        <w:numPr>
          <w:ilvl w:val="0"/>
          <w:numId w:val="2"/>
        </w:numPr>
        <w:jc w:val="both"/>
        <w:rPr>
          <w:rFonts w:ascii="Book Antiqua" w:hAnsi="Book Antiqua" w:cs="Book Antiqua"/>
          <w:sz w:val="22"/>
        </w:rPr>
      </w:pPr>
      <w:r>
        <w:rPr>
          <w:rFonts w:cs="Book Antiqua" w:ascii="Book Antiqua" w:hAnsi="Book Antiqua"/>
          <w:sz w:val="22"/>
        </w:rPr>
        <w:t xml:space="preserve">committing (scheduling) units to meet load through a daily simulation algorithm that looks at the marginal costs of the plant, based on fuel costs, heat rates, variable operations &amp; maintenance costs, no load heat costs, and start-up costs; and then  </w:t>
      </w:r>
    </w:p>
    <w:p>
      <w:pPr>
        <w:pStyle w:val="Normal"/>
        <w:jc w:val="both"/>
        <w:rPr>
          <w:rFonts w:ascii="Book Antiqua" w:hAnsi="Book Antiqua" w:cs="Book Antiqua"/>
          <w:sz w:val="22"/>
        </w:rPr>
      </w:pPr>
      <w:r>
        <w:rPr>
          <w:rFonts w:cs="Book Antiqua" w:ascii="Book Antiqua" w:hAnsi="Book Antiqua"/>
          <w:sz w:val="22"/>
        </w:rPr>
      </w:r>
    </w:p>
    <w:p>
      <w:pPr>
        <w:pStyle w:val="Normal"/>
        <w:numPr>
          <w:ilvl w:val="0"/>
          <w:numId w:val="2"/>
        </w:numPr>
        <w:jc w:val="both"/>
        <w:rPr>
          <w:rFonts w:ascii="Book Antiqua" w:hAnsi="Book Antiqua" w:cs="Book Antiqua"/>
          <w:sz w:val="22"/>
        </w:rPr>
      </w:pPr>
      <w:r>
        <w:rPr>
          <w:rFonts w:cs="Book Antiqua" w:ascii="Book Antiqua" w:hAnsi="Book Antiqua"/>
          <w:sz w:val="22"/>
        </w:rPr>
        <w:t xml:space="preserve">dispatching plant every half-hour, based on technical parameters (such as minimum on/off time and availability) and other system dynamic constraints (imports/exports and transmission constraints). </w:t>
      </w:r>
    </w:p>
    <w:p>
      <w:pPr>
        <w:pStyle w:val="Normal"/>
        <w:rPr>
          <w:rFonts w:ascii="Book Antiqua" w:hAnsi="Book Antiqua" w:eastAsia="Book Antiqua" w:cs="Book Antiqua"/>
          <w:sz w:val="22"/>
        </w:rPr>
      </w:pPr>
      <w:r>
        <w:rPr>
          <w:rFonts w:eastAsia="Book Antiqua" w:cs="Book Antiqua" w:ascii="Book Antiqua" w:hAnsi="Book Antiqua"/>
          <w:sz w:val="22"/>
        </w:rPr>
        <w:t xml:space="preserve"> </w:t>
      </w:r>
    </w:p>
    <w:p>
      <w:pPr>
        <w:pStyle w:val="FaxNormal"/>
        <w:suppressAutoHyphens w:val="false"/>
        <w:rPr/>
      </w:pPr>
      <w:r>
        <w:rPr/>
        <w:t xml:space="preserve">PoolMod’s treatment of hydro is quite different from SDDP’s. To understand the difference, it is helpful to compare the key questions that SDDP and PoolMod try to answer. As already noted, SDDP attempts to answer the question: “Is it better to use a storage hydro facility’s water to generate today, or to save the water and generate later?” Answering this question establishes a shadow price for water, which permits scheduling and dispatch to proceed in a straightforward manner. In contrast, PoolMod asks: “What prices will result under the given assumptions?” </w:t>
      </w:r>
    </w:p>
    <w:p>
      <w:pPr>
        <w:pStyle w:val="FaxNormal"/>
        <w:suppressAutoHyphens w:val="false"/>
        <w:rPr/>
      </w:pPr>
      <w:r>
        <w:rPr/>
      </w:r>
    </w:p>
    <w:p>
      <w:pPr>
        <w:pStyle w:val="FaxNormal"/>
        <w:suppressAutoHyphens w:val="false"/>
        <w:rPr/>
      </w:pPr>
      <w:r>
        <w:rPr/>
        <w:t>Among the inputs PoolMod takes as given is the monthly hydrology for each hydro facility, in the form of “daily energy budgets” for each month. “Daily energy budgets” define the amount of energy available to each hydro facility for each day of the forecast.</w:t>
      </w:r>
      <w:r>
        <w:rPr>
          <w:rStyle w:val="FootnoteCharacters"/>
          <w:rStyle w:val="FootnoteReference"/>
        </w:rPr>
        <w:footnoteReference w:id="8"/>
      </w:r>
      <w:r>
        <w:rPr/>
        <w:t xml:space="preserve"> PoolMod develops shadow prices for hydro by taking into account the amount of energy available in a day, together with the specified operational characteristics and constraints of hydro facilities and the costs of thermal units. Scheduling and dispatch then proceed in essentially the same manner as in SDDP, with one key exception – when used for long-term forecasting, SDDP schedules and dispatches to meet demand blocks of fairly long duration, whereas PoolMod schedules and dispatches to meet demand in increments of as little as one half hour. </w:t>
      </w:r>
    </w:p>
    <w:p>
      <w:pPr>
        <w:pStyle w:val="FaxNormal"/>
        <w:suppressAutoHyphens w:val="false"/>
        <w:rPr/>
      </w:pPr>
      <w:r>
        <w:rPr/>
      </w:r>
    </w:p>
    <w:p>
      <w:pPr>
        <w:pStyle w:val="FaxNormal"/>
        <w:suppressAutoHyphens w:val="false"/>
        <w:rPr/>
      </w:pPr>
      <w:r>
        <w:rPr/>
        <w:t xml:space="preserve">It is important to understand the reasoning behind PoolMod’s assumption of hydrology. The reasoning is that, although hydrological conditions as much as several months in advance can be predicted with reasonable degrees of accuracy, hydrological conditions more than about one year in the future are extremely difficult to predict. </w:t>
      </w:r>
    </w:p>
    <w:p>
      <w:pPr>
        <w:pStyle w:val="FaxNormal"/>
        <w:suppressAutoHyphens w:val="false"/>
        <w:rPr/>
      </w:pPr>
      <w:r>
        <w:rPr/>
      </w:r>
    </w:p>
    <w:p>
      <w:pPr>
        <w:pStyle w:val="FaxNormal"/>
        <w:suppressAutoHyphens w:val="false"/>
        <w:rPr/>
      </w:pPr>
      <w:r>
        <w:rPr/>
        <w:t>For example, SDDP’s econometric hydrology forecasting model is an autoregressive process with a lag of one period ((AR(1)). The simplified version of the model SDDP uses, which was presented earlier, is presented again below for ease of reference.</w:t>
      </w:r>
    </w:p>
    <w:p>
      <w:pPr>
        <w:pStyle w:val="FaxNormal"/>
        <w:suppressAutoHyphens w:val="false"/>
        <w:rPr/>
      </w:pPr>
      <w:r>
        <w:rPr/>
      </w:r>
    </w:p>
    <w:p>
      <w:pPr>
        <w:pStyle w:val="FaxNormal"/>
        <w:suppressAutoHyphens w:val="false"/>
        <w:jc w:val="center"/>
        <w:rPr/>
      </w:pPr>
      <w:r>
        <w:rPr/>
        <w:t>Y</w:t>
      </w:r>
      <w:r>
        <w:rPr>
          <w:vertAlign w:val="subscript"/>
        </w:rPr>
        <w:t>t</w:t>
      </w:r>
      <w:r>
        <w:rPr/>
        <w:t xml:space="preserve"> = </w:t>
      </w:r>
      <w:r>
        <w:rPr>
          <w:rFonts w:eastAsia="Symbol" w:cs="Symbol" w:ascii="Symbol" w:hAnsi="Symbol"/>
        </w:rPr>
        <w:sym w:font="Symbol" w:char="f062"/>
      </w:r>
      <w:r>
        <w:rPr>
          <w:vertAlign w:val="subscript"/>
        </w:rPr>
        <w:t xml:space="preserve"> t</w:t>
      </w:r>
      <w:r>
        <w:rPr/>
        <w:t xml:space="preserve"> + </w:t>
      </w:r>
      <w:r>
        <w:rPr>
          <w:rFonts w:eastAsia="Symbol" w:cs="Symbol" w:ascii="Symbol" w:hAnsi="Symbol"/>
        </w:rPr>
        <w:sym w:font="Symbol" w:char="f061"/>
      </w:r>
      <w:r>
        <w:rPr/>
        <w:t>Y</w:t>
      </w:r>
      <w:r>
        <w:rPr>
          <w:vertAlign w:val="subscript"/>
        </w:rPr>
        <w:t>t-1</w:t>
      </w:r>
      <w:r>
        <w:rPr/>
        <w:t xml:space="preserve"> + </w:t>
      </w:r>
      <w:r>
        <w:rPr>
          <w:rFonts w:eastAsia="Symbol" w:cs="Symbol" w:ascii="Symbol" w:hAnsi="Symbol"/>
        </w:rPr>
        <w:sym w:font="Symbol" w:char="f065"/>
      </w:r>
      <w:r>
        <w:rPr>
          <w:vertAlign w:val="subscript"/>
        </w:rPr>
        <w:t xml:space="preserve"> t</w:t>
      </w:r>
    </w:p>
    <w:p>
      <w:pPr>
        <w:pStyle w:val="FaxNormal"/>
        <w:suppressAutoHyphens w:val="false"/>
        <w:rPr/>
      </w:pPr>
      <w:r>
        <w:rPr/>
      </w:r>
    </w:p>
    <w:p>
      <w:pPr>
        <w:pStyle w:val="FaxNormal"/>
        <w:suppressAutoHyphens w:val="false"/>
        <w:rPr/>
      </w:pPr>
      <w:r>
        <w:rPr/>
        <w:t>Where:</w:t>
      </w:r>
    </w:p>
    <w:p>
      <w:pPr>
        <w:pStyle w:val="FaxNormal"/>
        <w:numPr>
          <w:ilvl w:val="0"/>
          <w:numId w:val="3"/>
        </w:numPr>
        <w:suppressAutoHyphens w:val="false"/>
        <w:rPr/>
      </w:pPr>
      <w:r>
        <w:rPr/>
        <w:t>Y</w:t>
      </w:r>
      <w:r>
        <w:rPr>
          <w:vertAlign w:val="subscript"/>
        </w:rPr>
        <w:t>t</w:t>
      </w:r>
      <w:r>
        <w:rPr/>
        <w:t xml:space="preserve"> is the inflows to reservoirs in a given month; </w:t>
      </w:r>
    </w:p>
    <w:p>
      <w:pPr>
        <w:pStyle w:val="FaxNormal"/>
        <w:numPr>
          <w:ilvl w:val="0"/>
          <w:numId w:val="3"/>
        </w:numPr>
        <w:suppressAutoHyphens w:val="false"/>
        <w:rPr/>
      </w:pPr>
      <w:r>
        <w:rPr>
          <w:rFonts w:eastAsia="Symbol" w:cs="Symbol" w:ascii="Symbol" w:hAnsi="Symbol"/>
        </w:rPr>
        <w:sym w:font="Symbol" w:char="f062"/>
      </w:r>
      <w:r>
        <w:rPr>
          <w:vertAlign w:val="subscript"/>
        </w:rPr>
        <w:t>t</w:t>
      </w:r>
      <w:r>
        <w:rPr/>
        <w:t xml:space="preserve"> is the estimated constant for a given month; </w:t>
      </w:r>
    </w:p>
    <w:p>
      <w:pPr>
        <w:pStyle w:val="FaxNormal"/>
        <w:numPr>
          <w:ilvl w:val="0"/>
          <w:numId w:val="3"/>
        </w:numPr>
        <w:suppressAutoHyphens w:val="false"/>
        <w:rPr/>
      </w:pPr>
      <w:r>
        <w:rPr>
          <w:rFonts w:eastAsia="Symbol" w:cs="Symbol" w:ascii="Symbol" w:hAnsi="Symbol"/>
        </w:rPr>
        <w:sym w:font="Symbol" w:char="f061"/>
      </w:r>
      <w:r>
        <w:rPr>
          <w:rFonts w:eastAsia="Book Antiqua"/>
        </w:rPr>
        <w:t xml:space="preserve"> </w:t>
      </w:r>
      <w:r>
        <w:rPr/>
        <w:t xml:space="preserve">is the estimated coefficient of determination; </w:t>
      </w:r>
    </w:p>
    <w:p>
      <w:pPr>
        <w:pStyle w:val="FaxNormal"/>
        <w:numPr>
          <w:ilvl w:val="0"/>
          <w:numId w:val="3"/>
        </w:numPr>
        <w:suppressAutoHyphens w:val="false"/>
        <w:rPr/>
      </w:pPr>
      <w:r>
        <w:rPr/>
        <w:t>Y</w:t>
      </w:r>
      <w:r>
        <w:rPr>
          <w:vertAlign w:val="subscript"/>
        </w:rPr>
        <w:t>t-1</w:t>
      </w:r>
      <w:r>
        <w:rPr/>
        <w:t xml:space="preserve"> is the inflows in the previous month; and </w:t>
      </w:r>
    </w:p>
    <w:p>
      <w:pPr>
        <w:pStyle w:val="FaxNormal"/>
        <w:numPr>
          <w:ilvl w:val="0"/>
          <w:numId w:val="3"/>
        </w:numPr>
        <w:suppressAutoHyphens w:val="false"/>
        <w:rPr/>
      </w:pPr>
      <w:r>
        <w:rPr>
          <w:rFonts w:eastAsia="Symbol" w:cs="Symbol" w:ascii="Symbol" w:hAnsi="Symbol"/>
        </w:rPr>
        <w:sym w:font="Symbol" w:char="f065"/>
      </w:r>
      <w:r>
        <w:rPr>
          <w:rFonts w:eastAsia="Book Antiqua"/>
          <w:vertAlign w:val="subscript"/>
        </w:rPr>
        <w:t xml:space="preserve"> </w:t>
      </w:r>
      <w:r>
        <w:rPr>
          <w:vertAlign w:val="subscript"/>
        </w:rPr>
        <w:t>t</w:t>
      </w:r>
      <w:r>
        <w:rPr/>
        <w:t xml:space="preserve"> is the error term; </w:t>
      </w:r>
    </w:p>
    <w:p>
      <w:pPr>
        <w:pStyle w:val="FaxNormal"/>
        <w:suppressAutoHyphens w:val="false"/>
        <w:rPr/>
      </w:pPr>
      <w:r>
        <w:rPr/>
      </w:r>
    </w:p>
    <w:p>
      <w:pPr>
        <w:pStyle w:val="FaxNormal"/>
        <w:suppressAutoHyphens w:val="false"/>
        <w:rPr/>
      </w:pPr>
      <w:r>
        <w:rPr/>
        <w:t xml:space="preserve">When used for forecasting monthly inflows, such a model says that a certain percentage of this month’s inflows are related to last month’s inflows. The same percentage of next month’s inflows can be explained by this month’s inflows, and a smaller percentage can be explained by last month’s inflows, and so on. </w:t>
      </w:r>
    </w:p>
    <w:p>
      <w:pPr>
        <w:pStyle w:val="FaxNormal"/>
        <w:suppressAutoHyphens w:val="false"/>
        <w:rPr/>
      </w:pPr>
      <w:r>
        <w:rPr/>
      </w:r>
    </w:p>
    <w:p>
      <w:pPr>
        <w:pStyle w:val="FaxNormal"/>
        <w:suppressAutoHyphens w:val="false"/>
        <w:rPr/>
      </w:pPr>
      <w:r>
        <w:rPr/>
        <w:t>The percentage of inflows (Y) for a period t, n</w:t>
      </w:r>
      <w:r>
        <w:rPr>
          <w:vertAlign w:val="subscript"/>
        </w:rPr>
        <w:t xml:space="preserve"> </w:t>
      </w:r>
      <w:r>
        <w:rPr/>
        <w:t>periods in the future (t = n) that can be explained (or forecast) by inflows in the current period can therefore be expressed by Y</w:t>
      </w:r>
      <w:r>
        <w:rPr>
          <w:vertAlign w:val="subscript"/>
        </w:rPr>
        <w:t xml:space="preserve">t=n </w:t>
      </w:r>
      <w:r>
        <w:rPr/>
        <w:t xml:space="preserve">= </w:t>
      </w:r>
      <w:r>
        <w:rPr>
          <w:rFonts w:eastAsia="Symbol" w:cs="Symbol" w:ascii="Symbol" w:hAnsi="Symbol"/>
        </w:rPr>
        <w:sym w:font="Symbol" w:char="f061"/>
      </w:r>
      <w:r>
        <w:rPr>
          <w:vertAlign w:val="superscript"/>
        </w:rPr>
        <w:t>n</w:t>
      </w:r>
      <w:r>
        <w:rPr/>
        <w:t xml:space="preserve">. Note that, even if the estimated coefficient of determination is quite high, the value of </w:t>
      </w:r>
      <w:r>
        <w:rPr>
          <w:rFonts w:eastAsia="Symbol" w:cs="Symbol" w:ascii="Symbol" w:hAnsi="Symbol"/>
        </w:rPr>
        <w:sym w:font="Symbol" w:char="f061"/>
      </w:r>
      <w:r>
        <w:rPr>
          <w:vertAlign w:val="superscript"/>
        </w:rPr>
        <w:t xml:space="preserve">n </w:t>
      </w:r>
      <w:r>
        <w:rPr/>
        <w:t xml:space="preserve">diminishes rapidly. Suppose the estimated </w:t>
      </w:r>
      <w:r>
        <w:rPr>
          <w:rFonts w:eastAsia="Symbol" w:cs="Symbol" w:ascii="Symbol" w:hAnsi="Symbol"/>
        </w:rPr>
        <w:sym w:font="Symbol" w:char="f061"/>
      </w:r>
      <w:r>
        <w:rPr/>
        <w:t xml:space="preserve"> is as high as .7, for example, and we are trying to forecast monthly inflows one year from now according to the above model. </w:t>
      </w:r>
      <w:r>
        <w:rPr/>
        <w:fldChar w:fldCharType="begin"/>
      </w:r>
      <w:r>
        <w:rPr/>
        <w:instrText xml:space="preserve"> REF _Ref469805082 \h </w:instrText>
      </w:r>
      <w:r>
        <w:rPr/>
        <w:fldChar w:fldCharType="separate"/>
      </w:r>
      <w:r>
        <w:rPr/>
        <w:t>Figure 1</w:t>
      </w:r>
      <w:r>
        <w:rPr/>
        <w:fldChar w:fldCharType="end"/>
      </w:r>
      <w:r>
        <w:rPr/>
        <w:t xml:space="preserve">, below, demonstrates that we would be able to predict very little about inflows that far in the future. The chart shows how the predictive power of AR(1) processes decline with the number of periods in the future that one is attempting to predict for. This decline is depicted for three different values for </w:t>
      </w:r>
      <w:r>
        <w:rPr>
          <w:rFonts w:eastAsia="Symbol" w:cs="Symbol" w:ascii="Symbol" w:hAnsi="Symbol"/>
        </w:rPr>
        <w:sym w:font="Symbol" w:char="f061"/>
      </w:r>
      <w:r>
        <w:rPr/>
        <w:t>.</w:t>
      </w:r>
      <w:r>
        <w:rPr>
          <w:rStyle w:val="FootnoteCharacters"/>
          <w:rStyle w:val="FootnoteReference"/>
        </w:rPr>
        <w:footnoteReference w:id="9"/>
      </w:r>
      <w:r>
        <w:rPr/>
        <w:t xml:space="preserve"> </w:t>
      </w:r>
    </w:p>
    <w:p>
      <w:pPr>
        <w:pStyle w:val="FaxNormal"/>
        <w:suppressAutoHyphens w:val="false"/>
        <w:rPr/>
      </w:pPr>
      <w:r>
        <w:rPr/>
      </w:r>
    </w:p>
    <w:p>
      <w:pPr>
        <w:pStyle w:val="Caption"/>
        <w:keepNext w:val="true"/>
        <w:pBdr>
          <w:top w:val="single" w:sz="4" w:space="1" w:color="000000"/>
          <w:left w:val="single" w:sz="4" w:space="4" w:color="000000"/>
          <w:bottom w:val="single" w:sz="4" w:space="1" w:color="000000"/>
          <w:right w:val="single" w:sz="4" w:space="4" w:color="000000"/>
        </w:pBdr>
        <w:jc w:val="both"/>
        <w:rPr/>
      </w:pPr>
      <w:bookmarkStart w:id="1" w:name="_Ref469805082"/>
      <w:r>
        <w:rPr/>
        <w:t xml:space="preserve">Figure </w:t>
      </w:r>
      <w:r>
        <w:rPr/>
        <w:fldChar w:fldCharType="begin"/>
      </w:r>
      <w:r>
        <w:rPr/>
        <w:instrText xml:space="preserve"> SEQ Figure \* ARABIC </w:instrText>
      </w:r>
      <w:r>
        <w:rPr/>
        <w:fldChar w:fldCharType="separate"/>
      </w:r>
      <w:r>
        <w:rPr/>
        <w:t>1</w:t>
      </w:r>
      <w:r>
        <w:rPr/>
        <w:fldChar w:fldCharType="end"/>
      </w:r>
      <w:bookmarkEnd w:id="1"/>
      <w:r>
        <w:rPr/>
        <w:t>.  Predictive power of AR(1) hydrology forecasting model</w:t>
      </w:r>
    </w:p>
    <w:p>
      <w:pPr>
        <w:pStyle w:val="FaxNormal"/>
        <w:pBdr>
          <w:top w:val="single" w:sz="4" w:space="1" w:color="000000"/>
          <w:left w:val="single" w:sz="4" w:space="4" w:color="000000"/>
          <w:bottom w:val="single" w:sz="4" w:space="1" w:color="000000"/>
          <w:right w:val="single" w:sz="4" w:space="4" w:color="000000"/>
        </w:pBdr>
        <w:suppressAutoHyphens w:val="false"/>
        <w:jc w:val="center"/>
        <w:rPr/>
      </w:pPr>
      <w:r>
        <w:rPr/>
        <w:drawing>
          <wp:inline distT="0" distB="0" distL="0" distR="0">
            <wp:extent cx="5589905" cy="374967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6" t="-10" r="-6" b="-10"/>
                    <a:stretch>
                      <a:fillRect/>
                    </a:stretch>
                  </pic:blipFill>
                  <pic:spPr bwMode="auto">
                    <a:xfrm>
                      <a:off x="0" y="0"/>
                      <a:ext cx="5589905" cy="3749675"/>
                    </a:xfrm>
                    <a:prstGeom prst="rect">
                      <a:avLst/>
                    </a:prstGeom>
                    <a:noFill/>
                  </pic:spPr>
                </pic:pic>
              </a:graphicData>
            </a:graphic>
          </wp:inline>
        </w:drawing>
      </w:r>
    </w:p>
    <w:p>
      <w:pPr>
        <w:pStyle w:val="FaxNormal"/>
        <w:suppressAutoHyphens w:val="false"/>
        <w:rPr/>
      </w:pPr>
      <w:r>
        <w:rPr/>
      </w:r>
    </w:p>
    <w:p>
      <w:pPr>
        <w:pStyle w:val="FaxNormal"/>
        <w:suppressAutoHyphens w:val="false"/>
        <w:rPr/>
      </w:pPr>
      <w:r>
        <w:rPr/>
        <w:t>Since hydrology cannot be forecast with any accuracy in the long run, the best long-run “forecast” of future hydrology is the “average hydrological year.” This being so, the average hydrological year is typically used in PoolMod for “base case” forecasts.  Alternate hydrological scenarios can be constructed to evaluate prices under extreme conditions in the first year or two, or in any other year desired.  If need be, these alternate hydrological scenarios can be designed to embody precisely the same statistical characteristics that SDDP uses in constructing its 50 synthetic years. That fact that PoolMod takes hydrology as given does not result in unvarying monthly hydro generation, as one might expect. This is because PoolMod relies on several stochastic processes that can impact the amount of hydro generation that actually occurs.</w:t>
      </w:r>
      <w:r>
        <w:rPr>
          <w:rStyle w:val="FootnoteCharacters"/>
          <w:rStyle w:val="FootnoteReference"/>
        </w:rPr>
        <w:footnoteReference w:id="10"/>
      </w:r>
    </w:p>
    <w:p>
      <w:pPr>
        <w:pStyle w:val="FaxNormal"/>
        <w:suppressAutoHyphens w:val="false"/>
        <w:rPr/>
      </w:pPr>
      <w:r>
        <w:rPr/>
      </w:r>
    </w:p>
    <w:p>
      <w:pPr>
        <w:pStyle w:val="Heading1"/>
        <w:ind w:hanging="0" w:start="0"/>
        <w:rPr/>
      </w:pPr>
      <w:r>
        <w:rPr/>
        <w:t>Use of SDDP and PoolMod for long-term forecasting</w:t>
      </w:r>
    </w:p>
    <w:p>
      <w:pPr>
        <w:pStyle w:val="FaxNormal"/>
        <w:suppressAutoHyphens w:val="false"/>
        <w:rPr/>
      </w:pPr>
      <w:r>
        <w:rPr/>
        <w:t xml:space="preserve">PoolMod and SDDP where designed for different purposes: PoolMod for long-term price forecasting and SDDP for optimizing hydrothermal operations. SDDP’s long-term price forecasting capability is actually an off-shoot of the need to “look ahead” in order to develop hydro operational plans. The principle drawback of using SDDP for long-term price forecasting has to do with the way SDDP aggregates demand into demand blocks when looking ahead. </w:t>
      </w:r>
    </w:p>
    <w:p>
      <w:pPr>
        <w:pStyle w:val="FaxNormal"/>
        <w:suppressAutoHyphens w:val="false"/>
        <w:rPr/>
      </w:pPr>
      <w:r>
        <w:rPr/>
      </w:r>
    </w:p>
    <w:p>
      <w:pPr>
        <w:pStyle w:val="FaxNormal"/>
        <w:suppressAutoHyphens w:val="false"/>
        <w:rPr/>
      </w:pPr>
      <w:r>
        <w:rPr/>
        <w:t>In the real world, demand is quite volatile. The disjunction between real world demand volatility and SDDP’s assumed “lumpy” demand can result in serious distortions, for two main reasons. First, when the demand for a month is aggregated into, say, three demand blocks (peak, shoulder, and base), the peaks and troughs will be significantly less high and low, respectively, than they would be in the real world. This means that SDDP will never dispatch some of the very expensive plant that may be needed to meet demand for a few peak hours each month, and may keep some plants dispatched through the month, even though, in the real world, very low cost plants might be setting price in a number of low demand hours. Because of the non-linearity of the supply curve, as well as the irregularity of demand profiles, there is no reason to expect that the higher prices in some hours would be offset more or less completely by the lower prices in other hours.</w:t>
      </w:r>
      <w:r>
        <w:rPr>
          <w:rStyle w:val="FootnoteCharacters"/>
          <w:rStyle w:val="FootnoteReference"/>
        </w:rPr>
        <w:footnoteReference w:id="11"/>
      </w:r>
      <w:r>
        <w:rPr/>
        <w:t xml:space="preserve"> </w:t>
      </w:r>
    </w:p>
    <w:p>
      <w:pPr>
        <w:pStyle w:val="FaxNormal"/>
        <w:suppressAutoHyphens w:val="false"/>
        <w:rPr/>
      </w:pPr>
      <w:r>
        <w:rPr/>
      </w:r>
    </w:p>
    <w:p>
      <w:pPr>
        <w:pStyle w:val="FaxNormal"/>
        <w:suppressAutoHyphens w:val="false"/>
        <w:rPr>
          <w:b/>
        </w:rPr>
      </w:pPr>
      <w:r>
        <w:rPr/>
        <w:t xml:space="preserve">Second, demand volatility is a crucial factor in arriving at least cost dispatch, particularly at the upper end of the merit order stack. In any given system, for example, meeting peak period demand of a given level that lasts for 1 hour is likely to result in a different plant being dispatched than if that same demand level lasted for several hours. High demand periods of short duration are generally met by flexible plant with high variable costs and low start costs, whereas demand periods of longer duration and the same level are generally met with lower variable cost, higher start cost plant. Since spot prices are set by the variable cost of marginal units, it can be expected that the prices that result from aggregating demand will be different from actual spot market prices. </w:t>
      </w:r>
    </w:p>
    <w:p>
      <w:pPr>
        <w:pStyle w:val="FaxNormal"/>
        <w:suppressAutoHyphens w:val="false"/>
        <w:rPr>
          <w:b/>
        </w:rPr>
      </w:pPr>
      <w:r>
        <w:rPr>
          <w:b/>
        </w:rPr>
      </w:r>
    </w:p>
    <w:p>
      <w:pPr>
        <w:pStyle w:val="FaxNormal"/>
        <w:suppressAutoHyphens w:val="false"/>
        <w:spacing w:before="0" w:after="120"/>
        <w:rPr/>
      </w:pPr>
      <w:r>
        <w:rPr/>
        <w:fldChar w:fldCharType="begin"/>
      </w:r>
      <w:r>
        <w:rPr/>
        <w:instrText xml:space="preserve"> REF _Ref464534604 \h </w:instrText>
      </w:r>
      <w:r>
        <w:rPr/>
        <w:fldChar w:fldCharType="separate"/>
      </w:r>
      <w:r>
        <w:rPr/>
        <w:t>Figure 2</w:t>
      </w:r>
      <w:r>
        <w:rPr/>
        <w:fldChar w:fldCharType="end"/>
      </w:r>
      <w:r>
        <w:rPr/>
        <w:t xml:space="preserve">, below, illustrates how SDDP aggregates monthly demand into demand blocks. (In the example, hourly demand for a typical Central American country is used, and it is assumed that SDDP assigns demand into three demand blocks). The top 20% of demand is placed into the peak demand block (as indicated by the arrows), the next 30% into the shoulder demand block, and the lowest 50% into the base demand block. Note that, although actual demand in the month nearly reaches 600 MW for a short while, and is often as high as about 580 MW, the peak demand period that SDDP would use for dispatch is flat at about 565 MW. Also note that although actual demand is never above 500 MW for as long as a day, the SDDP peak demand period lasts for six days. It can also be seen that demand actually drops slightly below 300 MW on the majority of days, and sometimes drops towards 250 MW, though the SDDP base demand block is flat at approximately 320 MW.   </w:t>
      </w:r>
    </w:p>
    <w:p>
      <w:pPr>
        <w:pStyle w:val="Caption"/>
        <w:keepNext w:val="true"/>
        <w:pBdr>
          <w:top w:val="single" w:sz="4" w:space="1" w:color="000000"/>
          <w:left w:val="single" w:sz="4" w:space="4" w:color="000000"/>
          <w:bottom w:val="single" w:sz="4" w:space="1" w:color="000000"/>
          <w:right w:val="single" w:sz="4" w:space="4" w:color="000000"/>
        </w:pBdr>
        <w:jc w:val="both"/>
        <w:rPr/>
      </w:pPr>
      <w:bookmarkStart w:id="2" w:name="_Ref464534604"/>
      <w:r>
        <w:rPr/>
        <w:t xml:space="preserve">Figure </w:t>
      </w:r>
      <w:r>
        <w:rPr/>
        <w:fldChar w:fldCharType="begin"/>
      </w:r>
      <w:r>
        <w:rPr/>
        <w:instrText xml:space="preserve"> SEQ Figure \* ARABIC </w:instrText>
      </w:r>
      <w:r>
        <w:rPr/>
        <w:fldChar w:fldCharType="separate"/>
      </w:r>
      <w:r>
        <w:rPr/>
        <w:t>2</w:t>
      </w:r>
      <w:r>
        <w:rPr/>
        <w:fldChar w:fldCharType="end"/>
      </w:r>
      <w:bookmarkEnd w:id="2"/>
      <w:r>
        <w:rPr/>
        <w:t>.  Aggregating hourly monthly demand  (for January 1997) data into three demand blocks</w:t>
      </w:r>
    </w:p>
    <w:p>
      <w:pPr>
        <w:pStyle w:val="FaxNormal"/>
        <w:pBdr>
          <w:top w:val="single" w:sz="4" w:space="1" w:color="000000"/>
          <w:left w:val="single" w:sz="4" w:space="4" w:color="000000"/>
          <w:bottom w:val="single" w:sz="4" w:space="1" w:color="000000"/>
          <w:right w:val="single" w:sz="4" w:space="4" w:color="000000"/>
        </w:pBdr>
        <w:suppressAutoHyphens w:val="false"/>
        <w:jc w:val="center"/>
        <w:rPr/>
      </w:pPr>
      <w:r>
        <w:rPr/>
        <w:drawing>
          <wp:inline distT="0" distB="0" distL="0" distR="0">
            <wp:extent cx="3959225" cy="550672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9" t="-7" r="-9" b="-7"/>
                    <a:stretch>
                      <a:fillRect/>
                    </a:stretch>
                  </pic:blipFill>
                  <pic:spPr bwMode="auto">
                    <a:xfrm>
                      <a:off x="0" y="0"/>
                      <a:ext cx="3959225" cy="5506720"/>
                    </a:xfrm>
                    <a:prstGeom prst="rect">
                      <a:avLst/>
                    </a:prstGeom>
                    <a:noFill/>
                  </pic:spPr>
                </pic:pic>
              </a:graphicData>
            </a:graphic>
          </wp:inline>
        </w:drawing>
      </w:r>
    </w:p>
    <w:p>
      <w:pPr>
        <w:pStyle w:val="FaxNormal"/>
        <w:suppressAutoHyphens w:val="false"/>
        <w:rPr/>
      </w:pPr>
      <w:r>
        <w:rPr/>
      </w:r>
    </w:p>
    <w:p>
      <w:pPr>
        <w:pStyle w:val="FaxNormal"/>
        <w:suppressAutoHyphens w:val="false"/>
        <w:rPr/>
      </w:pPr>
      <w:r>
        <w:rPr/>
      </w:r>
    </w:p>
    <w:p>
      <w:pPr>
        <w:pStyle w:val="FaxNormal"/>
        <w:suppressAutoHyphens w:val="false"/>
        <w:rPr/>
      </w:pPr>
      <w:r>
        <w:rPr/>
        <w:t xml:space="preserve">It is possible that the merit order of dispatch in some Central American countries does not currently change much according to the length of time a unit is run. SDDP will not produce the distortion related to the real world volatility of demand as long as such a condition holds. It is not credible to maintain, however, that this condition will hold as new thermal projects come on line in the region. In a general sense, this is because the more thermal plants there are in a system, the more “crowded” the mid-merit and peaking portions of the supply curve are likely to be. It is more likely with larger numbers of thermal units in the supply curve that any two of these units will have similar variable costs. When variable costs are similar, differences in start costs are often the deciding factor in dispatch. </w:t>
      </w:r>
    </w:p>
    <w:p>
      <w:pPr>
        <w:pStyle w:val="FaxNormal"/>
        <w:suppressAutoHyphens w:val="false"/>
        <w:rPr/>
      </w:pPr>
      <w:r>
        <w:rPr/>
      </w:r>
    </w:p>
    <w:p>
      <w:pPr>
        <w:pStyle w:val="FaxNormal"/>
        <w:suppressAutoHyphens w:val="false"/>
        <w:rPr/>
      </w:pPr>
      <w:r>
        <w:rPr/>
        <w:t xml:space="preserve">More specifically, a number of planned and possible new entrants in Central America are CCGTs, which have very low variable costs but are not very flexible. Such units are likely to be dispatched almost all of the time by SDDP, when in the real world, they might not be economical to run for certain extended periods, such as at night and/or on the weekends. </w:t>
      </w:r>
    </w:p>
    <w:p>
      <w:pPr>
        <w:pStyle w:val="FaxNormal"/>
        <w:suppressAutoHyphens w:val="false"/>
        <w:rPr/>
      </w:pPr>
      <w:r>
        <w:rPr/>
      </w:r>
    </w:p>
    <w:p>
      <w:pPr>
        <w:pStyle w:val="FaxNormal"/>
        <w:suppressAutoHyphens w:val="false"/>
        <w:rPr/>
      </w:pPr>
      <w:r>
        <w:rPr/>
        <w:t xml:space="preserve">Taking the above considerations into account, therefore, SDDP </w:t>
      </w:r>
      <w:r>
        <w:rPr>
          <w:i/>
        </w:rPr>
        <w:t>may</w:t>
      </w:r>
      <w:r>
        <w:rPr/>
        <w:t xml:space="preserve"> not be greatly compromised in long-term forecasts of average spot prices by the distortion related to volatility, as long as there is little new entry of CCGTs. Nevertheless, SDDP will still be vulnerable in </w:t>
      </w:r>
      <w:r>
        <w:rPr>
          <w:i/>
        </w:rPr>
        <w:t>any</w:t>
      </w:r>
      <w:r>
        <w:rPr/>
        <w:t xml:space="preserve"> long-term forecast to distortions related to the amount of demand at peak and base periods. (This distortion will be reduced for forecasts using SDDP of under three years by the ability to use the weekly, rather than the monthly, planning horizon). The likely impacts of these two distortions include artificially low average prices, since SDDP may over-dispatch inflexible low variable cost plant, and completely inaccurate revenues to peaking facilities, which SDDP may never actually dispatch. </w:t>
      </w:r>
    </w:p>
    <w:p>
      <w:pPr>
        <w:pStyle w:val="FaxNormal"/>
        <w:suppressAutoHyphens w:val="false"/>
        <w:rPr/>
      </w:pPr>
      <w:r>
        <w:rPr/>
      </w:r>
    </w:p>
    <w:p>
      <w:pPr>
        <w:pStyle w:val="FaxNormal"/>
        <w:suppressAutoHyphens w:val="false"/>
        <w:rPr/>
      </w:pPr>
      <w:r>
        <w:rPr/>
      </w:r>
    </w:p>
    <w:sectPr>
      <w:footerReference w:type="default" r:id="rId5"/>
      <w:footnotePr>
        <w:numFmt w:val="decimal"/>
      </w:footnotePr>
      <w:type w:val="nextPage"/>
      <w:pgSz w:w="12240" w:h="15840"/>
      <w:pgMar w:left="1440" w:right="1440" w:gutter="0" w:header="0" w:top="1440" w:footer="720" w:bottom="180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London Economics, Inc.</w:t>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57785" cy="131445"/>
              <wp:effectExtent l="0" t="0" r="0" b="0"/>
              <wp:wrapSquare wrapText="bothSides"/>
              <wp:docPr id="4"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463.4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ind w:end="360"/>
      <w:rPr>
        <w:rStyle w:val="PageNumber"/>
      </w:rPr>
    </w:pPr>
    <w:r>
      <w:rPr/>
      <w:t>28 June, 2000</w:t>
      <w:tab/>
      <w:tab/>
    </w:r>
  </w:p>
  <w:p>
    <w:pPr>
      <w:pStyle w:val="Footer"/>
      <w:rPr>
        <w:rStyle w:val="PageNumb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720" w:start="720" w:end="0"/>
        <w:rPr/>
      </w:pPr>
      <w:r>
        <w:rPr>
          <w:rStyle w:val="FootnoteCharacters"/>
        </w:rPr>
        <w:footnoteRef/>
      </w:r>
      <w:r>
        <w:rPr/>
        <w:t xml:space="preserve"> </w:t>
      </w:r>
      <w:r>
        <w:rPr>
          <w:rFonts w:cs="Book Antiqua" w:ascii="Book Antiqua" w:hAnsi="Book Antiqua"/>
          <w:sz w:val="18"/>
        </w:rPr>
        <w:t>This discussion summarizes how SDDP works. For a thorough discussion,  see M. Pereira; N. Campodonico, and R. Kelman  “Application of Stochastic Dual DP and Extensions to Hydrothermal Scheduling; PSRI Technical Report 012/99” (April 1999)</w:t>
      </w:r>
      <w:r>
        <w:rPr/>
        <w:t xml:space="preserve"> </w:t>
      </w:r>
    </w:p>
  </w:footnote>
  <w:footnote w:id="3">
    <w:p>
      <w:pPr>
        <w:pStyle w:val="FootnoteText"/>
        <w:ind w:hanging="720" w:start="720" w:end="0"/>
        <w:rPr/>
      </w:pPr>
      <w:r>
        <w:rPr>
          <w:rStyle w:val="FootnoteCharacters"/>
        </w:rPr>
        <w:footnoteRef/>
      </w:r>
      <w:r>
        <w:rPr/>
        <w:t xml:space="preserve"> </w:t>
      </w:r>
      <w:r>
        <w:rPr/>
        <w:t xml:space="preserve">This is a simplified version of the actual model, which describes an AR(1) (auto-regressive with lag of one period) process.   </w:t>
      </w:r>
    </w:p>
  </w:footnote>
  <w:footnote w:id="4">
    <w:p>
      <w:pPr>
        <w:pStyle w:val="FootnoteText"/>
        <w:ind w:hanging="720" w:start="720" w:end="0"/>
        <w:rPr/>
      </w:pPr>
      <w:r>
        <w:rPr>
          <w:rStyle w:val="FootnoteCharacters"/>
        </w:rPr>
        <w:footnoteRef/>
      </w:r>
      <w:r>
        <w:rPr/>
        <w:t xml:space="preserve"> </w:t>
      </w:r>
      <w:r>
        <w:rPr/>
        <w:t xml:space="preserve">The process is similar to that used for Monte Carlo simulation. </w:t>
      </w:r>
    </w:p>
  </w:footnote>
  <w:footnote w:id="5">
    <w:p>
      <w:pPr>
        <w:pStyle w:val="FootnoteText"/>
        <w:ind w:hanging="720" w:start="720" w:end="0"/>
        <w:rPr/>
      </w:pPr>
      <w:r>
        <w:rPr>
          <w:rStyle w:val="FootnoteCharacters"/>
        </w:rPr>
        <w:footnoteRef/>
      </w:r>
      <w:r>
        <w:rPr/>
        <w:t xml:space="preserve"> </w:t>
      </w:r>
      <w:r>
        <w:rPr/>
        <w:t xml:space="preserve">Although several sources state that each of the 50 synthetic years is “equally likely to occur,” it should be noted that the procedure described here would not result in each year being equally likely to occur. One would need to specify a uniform distribution function for the error term to do so, which would be hard to justify based on what we know about the actual observed distribution of hydrological outcomes. A uniform distribution would result in much higher probabilities of extreme values than a normal distribution function would. </w:t>
      </w:r>
    </w:p>
  </w:footnote>
  <w:footnote w:id="6">
    <w:p>
      <w:pPr>
        <w:pStyle w:val="FootnoteText"/>
        <w:ind w:hanging="720" w:start="720" w:end="0"/>
        <w:rPr/>
      </w:pPr>
      <w:r>
        <w:rPr>
          <w:rStyle w:val="FootnoteCharacters"/>
        </w:rPr>
        <w:footnoteRef/>
      </w:r>
      <w:r>
        <w:rPr>
          <w:rStyle w:val="FootnoteCharacters"/>
        </w:rPr>
        <w:t xml:space="preserve"> </w:t>
      </w:r>
      <w:r>
        <w:rPr/>
        <w:t xml:space="preserve">Shadow prices are prices that are established for products or services whose values may differ greatly from the actual marginal costs of producing those products or services. The shadow price for hydro generation at any given time is equivalent to the cost the power market as a whole would incur without the hydro generation.     </w:t>
      </w:r>
    </w:p>
  </w:footnote>
  <w:footnote w:id="7">
    <w:p>
      <w:pPr>
        <w:pStyle w:val="FootnoteText"/>
        <w:ind w:hanging="720" w:start="720" w:end="0"/>
        <w:rPr/>
      </w:pPr>
      <w:r>
        <w:rPr>
          <w:rStyle w:val="FootnoteCharacters"/>
        </w:rPr>
        <w:footnoteRef/>
      </w:r>
      <w:r>
        <w:rPr/>
        <w:t xml:space="preserve"> </w:t>
      </w:r>
      <w:r>
        <w:rPr/>
        <w:t xml:space="preserve">PoolMod’s use of half hourly dispatch is no obstacle to forecasting in markets with hourly dispatch, as it is a simple matter to assign the same value to demand in each of two half hours as in the corresponding hour period. Doing so produces exactly the same results as would be expected if PoolMod were designed for hourly dispatch.   </w:t>
      </w:r>
    </w:p>
  </w:footnote>
  <w:footnote w:id="8">
    <w:p>
      <w:pPr>
        <w:pStyle w:val="FootnoteText"/>
        <w:rPr/>
      </w:pPr>
      <w:r>
        <w:rPr>
          <w:rStyle w:val="FootnoteCharacters"/>
        </w:rPr>
        <w:footnoteRef/>
      </w:r>
      <w:r>
        <w:rPr/>
        <w:t xml:space="preserve"> </w:t>
      </w:r>
      <w:r>
        <w:rPr/>
        <w:t>Assigning daily energy budgets on a monthly basis permits the modeling of monthly or seasonal hydrological changes.</w:t>
      </w:r>
    </w:p>
  </w:footnote>
  <w:footnote w:id="9">
    <w:p>
      <w:pPr>
        <w:pStyle w:val="FootnoteText"/>
        <w:rPr/>
      </w:pPr>
      <w:r>
        <w:rPr>
          <w:rStyle w:val="FootnoteCharacters"/>
        </w:rPr>
        <w:footnoteRef/>
      </w:r>
      <w:r>
        <w:rPr/>
        <w:t xml:space="preserve"> </w:t>
      </w:r>
      <w:r>
        <w:rPr/>
        <w:t xml:space="preserve">A quick estimation of the model using hydrological data from one country in Central America yielded a value for </w:t>
      </w:r>
      <w:r>
        <w:rPr>
          <w:rFonts w:eastAsia="Symbol" w:cs="Symbol" w:ascii="Symbol" w:hAnsi="Symbol"/>
        </w:rPr>
        <w:sym w:font="Symbol" w:char="f061"/>
      </w:r>
      <w:r>
        <w:rPr/>
        <w:t xml:space="preserve"> of between .55 and .65. </w:t>
      </w:r>
    </w:p>
  </w:footnote>
  <w:footnote w:id="10">
    <w:p>
      <w:pPr>
        <w:pStyle w:val="FootnoteText"/>
        <w:rPr/>
      </w:pPr>
      <w:r>
        <w:rPr>
          <w:rStyle w:val="FootnoteCharacters"/>
        </w:rPr>
        <w:footnoteRef/>
      </w:r>
      <w:r>
        <w:rPr/>
        <w:t xml:space="preserve"> </w:t>
      </w:r>
      <w:r>
        <w:rPr/>
        <w:t>The most important stochastic factor affecting the amount of hydro generation is the “demand forecast error,” which is designed to reflect real-world differences between the demand forecasts that are used for scheduling plant, and the demand that actually ends up needing to be met by dispatching plant. The “demand forecast error” results in hydro spillage in some hours. Because of this, “energy budgets” are typically set slightly higher than the amount of hydro generation one would like to occur on average.</w:t>
      </w:r>
    </w:p>
  </w:footnote>
  <w:footnote w:id="11">
    <w:p>
      <w:pPr>
        <w:pStyle w:val="FootnoteText"/>
        <w:ind w:hanging="720" w:start="720" w:end="0"/>
        <w:rPr/>
      </w:pPr>
      <w:r>
        <w:rPr>
          <w:rStyle w:val="FootnoteCharacters"/>
        </w:rPr>
        <w:footnoteRef/>
      </w:r>
      <w:r>
        <w:rPr/>
        <w:t xml:space="preserve"> </w:t>
      </w:r>
      <w:r>
        <w:rPr/>
        <w:t xml:space="preserve">For example, even if the </w:t>
      </w:r>
      <w:r>
        <w:rPr>
          <w:i/>
        </w:rPr>
        <w:t>number</w:t>
      </w:r>
      <w:r>
        <w:rPr/>
        <w:t xml:space="preserve"> of hours when SDDP’s predicted prices are lower than they would be in the real world is the same as the </w:t>
      </w:r>
      <w:r>
        <w:rPr>
          <w:i/>
        </w:rPr>
        <w:t>number</w:t>
      </w:r>
      <w:r>
        <w:rPr/>
        <w:t xml:space="preserve"> of hours when SDDP’s predicted prices are higher than they would be in the real world, there is no reason to suppose that the </w:t>
      </w:r>
      <w:r>
        <w:rPr>
          <w:i/>
        </w:rPr>
        <w:t>magnitude</w:t>
      </w:r>
      <w:r>
        <w:rPr/>
        <w:t xml:space="preserve"> of the differences is the same.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360"/>
        </w:tabs>
        <w:ind w:start="360" w:hanging="360"/>
      </w:pPr>
      <w:rPr>
        <w:rFonts w:ascii="Symbol" w:hAnsi="Symbol" w:cs="Symbol" w:hint="default"/>
        <w:sz w:val="20"/>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 w:leader="none"/>
      </w:tabs>
      <w:suppressAutoHyphens w:val="true"/>
      <w:spacing w:before="120" w:after="240"/>
      <w:jc w:val="both"/>
      <w:outlineLvl w:val="0"/>
    </w:pPr>
    <w:rPr>
      <w:rFonts w:ascii="Book Antiqua" w:hAnsi="Book Antiqua" w:cs="Book Antiqua"/>
      <w:b/>
      <w:sz w:val="28"/>
    </w:rPr>
  </w:style>
  <w:style w:type="paragraph" w:styleId="Heading2">
    <w:name w:val="heading 2"/>
    <w:basedOn w:val="Normal"/>
    <w:next w:val="Normal"/>
    <w:qFormat/>
    <w:pPr>
      <w:keepNext w:val="true"/>
      <w:numPr>
        <w:ilvl w:val="1"/>
        <w:numId w:val="1"/>
      </w:numPr>
      <w:tabs>
        <w:tab w:val="left" w:pos="720" w:leader="none"/>
      </w:tabs>
      <w:suppressAutoHyphens w:val="true"/>
      <w:spacing w:before="120" w:after="240"/>
      <w:jc w:val="both"/>
      <w:outlineLvl w:val="1"/>
    </w:pPr>
    <w:rPr>
      <w:rFonts w:ascii="Book Antiqua" w:hAnsi="Book Antiqua" w:cs="Book Antiqua"/>
      <w:b/>
      <w:sz w:val="22"/>
    </w:rPr>
  </w:style>
  <w:style w:type="paragraph" w:styleId="Heading3">
    <w:name w:val="heading 3"/>
    <w:basedOn w:val="Normal"/>
    <w:next w:val="Normal"/>
    <w:qFormat/>
    <w:pPr>
      <w:keepNext w:val="true"/>
      <w:numPr>
        <w:ilvl w:val="2"/>
        <w:numId w:val="1"/>
      </w:numPr>
      <w:suppressAutoHyphens w:val="true"/>
      <w:spacing w:before="120" w:after="240"/>
      <w:jc w:val="both"/>
      <w:outlineLvl w:val="2"/>
    </w:pPr>
    <w:rPr>
      <w:rFonts w:ascii="Book Antiqua" w:hAnsi="Book Antiqua" w:cs="Book Antiqua"/>
      <w:b/>
      <w:sz w:val="22"/>
    </w:rPr>
  </w:style>
  <w:style w:type="paragraph" w:styleId="Heading4">
    <w:name w:val="heading 4"/>
    <w:basedOn w:val="Normal"/>
    <w:next w:val="Normal"/>
    <w:qFormat/>
    <w:pPr>
      <w:keepNext w:val="true"/>
      <w:numPr>
        <w:ilvl w:val="3"/>
        <w:numId w:val="1"/>
      </w:numPr>
      <w:suppressAutoHyphens w:val="true"/>
      <w:spacing w:before="240" w:after="120"/>
      <w:jc w:val="both"/>
      <w:outlineLvl w:val="3"/>
    </w:pPr>
    <w:rPr>
      <w:rFonts w:ascii="Book Antiqua" w:hAnsi="Book Antiqua" w:cs="Book Antiqua"/>
      <w:b/>
      <w:sz w:val="22"/>
    </w:rPr>
  </w:style>
  <w:style w:type="paragraph" w:styleId="Heading5">
    <w:name w:val="heading 5"/>
    <w:basedOn w:val="Normal"/>
    <w:next w:val="Normal"/>
    <w:qFormat/>
    <w:pPr>
      <w:numPr>
        <w:ilvl w:val="4"/>
        <w:numId w:val="1"/>
      </w:numPr>
      <w:suppressAutoHyphens w:val="true"/>
      <w:spacing w:before="0" w:after="240"/>
      <w:jc w:val="both"/>
      <w:outlineLvl w:val="4"/>
    </w:pPr>
    <w:rPr>
      <w:rFonts w:ascii="Book Antiqua" w:hAnsi="Book Antiqua" w:cs="Book Antiqua"/>
      <w:sz w:val="22"/>
    </w:rPr>
  </w:style>
  <w:style w:type="paragraph" w:styleId="Heading6">
    <w:name w:val="heading 6"/>
    <w:basedOn w:val="Normal"/>
    <w:next w:val="Normal"/>
    <w:qFormat/>
    <w:pPr>
      <w:numPr>
        <w:ilvl w:val="5"/>
        <w:numId w:val="1"/>
      </w:numPr>
      <w:suppressAutoHyphens w:val="true"/>
      <w:spacing w:before="0" w:after="240"/>
      <w:jc w:val="both"/>
      <w:outlineLvl w:val="5"/>
    </w:pPr>
    <w:rPr>
      <w:rFonts w:ascii="Book Antiqua" w:hAnsi="Book Antiqua" w:cs="Book Antiqua"/>
      <w:sz w:val="22"/>
    </w:rPr>
  </w:style>
  <w:style w:type="paragraph" w:styleId="Heading7">
    <w:name w:val="heading 7"/>
    <w:basedOn w:val="Normal"/>
    <w:next w:val="Normal"/>
    <w:qFormat/>
    <w:pPr>
      <w:numPr>
        <w:ilvl w:val="6"/>
        <w:numId w:val="1"/>
      </w:numPr>
      <w:suppressAutoHyphens w:val="true"/>
      <w:spacing w:before="0" w:after="240"/>
      <w:jc w:val="both"/>
      <w:outlineLvl w:val="6"/>
    </w:pPr>
    <w:rPr>
      <w:rFonts w:ascii="Book Antiqua" w:hAnsi="Book Antiqua" w:cs="Book Antiqua"/>
      <w:sz w:val="22"/>
    </w:rPr>
  </w:style>
  <w:style w:type="paragraph" w:styleId="Heading8">
    <w:name w:val="heading 8"/>
    <w:basedOn w:val="Normal"/>
    <w:next w:val="Normal"/>
    <w:qFormat/>
    <w:pPr>
      <w:numPr>
        <w:ilvl w:val="7"/>
        <w:numId w:val="1"/>
      </w:numPr>
      <w:suppressAutoHyphens w:val="true"/>
      <w:spacing w:before="0" w:after="240"/>
      <w:jc w:val="both"/>
      <w:outlineLvl w:val="7"/>
    </w:pPr>
    <w:rPr>
      <w:rFonts w:ascii="Book Antiqua" w:hAnsi="Book Antiqua" w:cs="Book Antiqua"/>
      <w:sz w:val="22"/>
    </w:rPr>
  </w:style>
  <w:style w:type="paragraph" w:styleId="Heading9">
    <w:name w:val="heading 9"/>
    <w:basedOn w:val="Normal"/>
    <w:next w:val="Normal"/>
    <w:qFormat/>
    <w:pPr>
      <w:numPr>
        <w:ilvl w:val="8"/>
        <w:numId w:val="1"/>
      </w:numPr>
      <w:suppressAutoHyphens w:val="true"/>
      <w:spacing w:before="0" w:after="240"/>
      <w:jc w:val="both"/>
      <w:outlineLvl w:val="8"/>
    </w:pPr>
    <w:rPr>
      <w:rFonts w:ascii="Book Antiqua" w:hAnsi="Book Antiqua" w:cs="Book Antiqua"/>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sz w:val="20"/>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Book Antiqua" w:hAnsi="Book Antiqua" w:cs="Book Antiqua"/>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uppressAutoHyphens w:val="true"/>
      <w:spacing w:before="0" w:after="240"/>
      <w:jc w:val="center"/>
    </w:pPr>
    <w:rPr>
      <w:rFonts w:ascii="Book Antiqua" w:hAnsi="Book Antiqua" w:cs="Book Antiqua"/>
      <w:b/>
      <w:sz w:val="32"/>
    </w:rPr>
  </w:style>
  <w:style w:type="paragraph" w:styleId="BodyText">
    <w:name w:val="Body Text"/>
    <w:basedOn w:val="Normal"/>
    <w:pPr>
      <w:jc w:val="both"/>
    </w:pPr>
    <w:rPr>
      <w:rFonts w:ascii="Book Antiqua" w:hAnsi="Book Antiqua" w:cs="Book Antiqua"/>
      <w:b/>
      <w:sz w:val="30"/>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2SubSectionHead">
    <w:name w:val="2SubSectionHead"/>
    <w:basedOn w:val="Normal"/>
    <w:next w:val="Normal"/>
    <w:qFormat/>
    <w:pPr>
      <w:suppressAutoHyphens w:val="true"/>
      <w:spacing w:before="240" w:after="240"/>
      <w:jc w:val="both"/>
    </w:pPr>
    <w:rPr>
      <w:rFonts w:ascii="Book Antiqua" w:hAnsi="Book Antiqua" w:cs="Book Antiqua"/>
      <w:b/>
      <w:sz w:val="32"/>
    </w:rPr>
  </w:style>
  <w:style w:type="paragraph" w:styleId="4SubPara">
    <w:name w:val="4SubPara"/>
    <w:basedOn w:val="Normal"/>
    <w:next w:val="Normal"/>
    <w:qFormat/>
    <w:pPr>
      <w:suppressAutoHyphens w:val="true"/>
      <w:spacing w:before="120" w:after="240"/>
      <w:jc w:val="both"/>
    </w:pPr>
    <w:rPr>
      <w:rFonts w:ascii="Book Antiqua" w:hAnsi="Book Antiqua" w:cs="Book Antiqua"/>
      <w:b/>
      <w:sz w:val="22"/>
    </w:rPr>
  </w:style>
  <w:style w:type="paragraph" w:styleId="FootnoteText">
    <w:name w:val="footnote text"/>
    <w:basedOn w:val="Normal"/>
    <w:pPr/>
    <w:rPr/>
  </w:style>
  <w:style w:type="paragraph" w:styleId="FaxNormal">
    <w:name w:val="FaxNormal"/>
    <w:basedOn w:val="Normal"/>
    <w:qFormat/>
    <w:pPr>
      <w:suppressAutoHyphens w:val="true"/>
      <w:jc w:val="both"/>
    </w:pPr>
    <w:rPr>
      <w:rFonts w:ascii="Book Antiqua" w:hAnsi="Book Antiqua" w:cs="Book Antiqua"/>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uppressAutoHyphens w:val="true"/>
      <w:jc w:val="both"/>
    </w:pPr>
    <w:rPr>
      <w:rFonts w:ascii="Book Antiqua" w:hAnsi="Book Antiqua" w:cs="Book Antiqua"/>
      <w:sz w:val="18"/>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2000-06-28T11:17:00Z</dcterms:created>
  <dc:creator>Eric Shumway</dc:creator>
  <dc:description/>
  <dc:language>en-CA</dc:language>
  <cp:lastModifiedBy>Eric Shumway</cp:lastModifiedBy>
  <cp:lastPrinted>2000-01-24T16:18:00Z</cp:lastPrinted>
  <dcterms:modified xsi:type="dcterms:W3CDTF">2000-06-28T13:05:00Z</dcterms:modified>
  <cp:revision>5</cp:revision>
  <dc:subject/>
  <dc:title>October 13, 1999</dc:title>
</cp:coreProperties>
</file>