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9270" w:leader="none"/>
        </w:tabs>
        <w:jc w:val="end"/>
        <w:outlineLvl w:val="0"/>
        <w:rPr>
          <w:b/>
          <w:bCs/>
          <w:smallCaps/>
          <w:sz w:val="24"/>
        </w:rPr>
      </w:pPr>
      <w:r>
        <w:rPr>
          <w:b/>
          <w:bCs/>
          <w:smallCaps/>
          <w:sz w:val="24"/>
        </w:rPr>
      </w:r>
    </w:p>
    <w:p>
      <w:pPr>
        <w:pStyle w:val="Normal"/>
        <w:numPr>
          <w:ilvl w:val="0"/>
          <w:numId w:val="0"/>
        </w:numPr>
        <w:tabs>
          <w:tab w:val="clear" w:pos="720"/>
          <w:tab w:val="left" w:pos="9270" w:leader="none"/>
        </w:tabs>
        <w:jc w:val="center"/>
        <w:outlineLvl w:val="0"/>
        <w:rPr/>
      </w:pPr>
      <w:r>
        <w:rPr>
          <w:smallCaps/>
          <w:sz w:val="24"/>
        </w:rPr>
        <w:t>UNITED</w:t>
      </w:r>
      <w:r>
        <w:rPr>
          <w:sz w:val="24"/>
        </w:rPr>
        <w:t xml:space="preserve"> </w:t>
      </w:r>
      <w:r>
        <w:rPr>
          <w:smallCaps/>
          <w:sz w:val="24"/>
        </w:rPr>
        <w:t>STATES</w:t>
      </w:r>
      <w:r>
        <w:rPr>
          <w:sz w:val="24"/>
        </w:rPr>
        <w:t xml:space="preserve"> OF AMERICA</w:t>
      </w:r>
    </w:p>
    <w:p>
      <w:pPr>
        <w:pStyle w:val="Normal"/>
        <w:numPr>
          <w:ilvl w:val="0"/>
          <w:numId w:val="0"/>
        </w:numPr>
        <w:jc w:val="center"/>
        <w:outlineLvl w:val="0"/>
        <w:rPr>
          <w:smallCaps/>
          <w:sz w:val="24"/>
        </w:rPr>
      </w:pPr>
      <w:r>
        <w:rPr>
          <w:smallCaps/>
          <w:sz w:val="24"/>
        </w:rPr>
        <w:t>BEFORE THE</w:t>
      </w:r>
    </w:p>
    <w:p>
      <w:pPr>
        <w:pStyle w:val="Normal"/>
        <w:numPr>
          <w:ilvl w:val="0"/>
          <w:numId w:val="0"/>
        </w:numPr>
        <w:jc w:val="center"/>
        <w:outlineLvl w:val="0"/>
        <w:rPr>
          <w:smallCaps/>
          <w:sz w:val="24"/>
        </w:rPr>
      </w:pPr>
      <w:r>
        <w:rPr>
          <w:smallCaps/>
          <w:sz w:val="24"/>
        </w:rPr>
        <w:t>FEDERAL ENERGY REGULATORY COMMISSION</w:t>
      </w:r>
    </w:p>
    <w:p>
      <w:pPr>
        <w:pStyle w:val="Normal"/>
        <w:spacing w:before="0" w:after="120"/>
        <w:rPr>
          <w:smallCaps/>
          <w:sz w:val="24"/>
        </w:rPr>
      </w:pPr>
      <w:r>
        <w:rPr>
          <w:smallCaps/>
          <w:sz w:val="24"/>
        </w:rPr>
      </w:r>
    </w:p>
    <w:p>
      <w:pPr>
        <w:pStyle w:val="Normal"/>
        <w:spacing w:before="0" w:after="120"/>
        <w:rPr>
          <w:smallCaps/>
        </w:rPr>
      </w:pPr>
      <w:r>
        <w:rPr>
          <w:smallCaps/>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snapToGrid w:val="false"/>
              <w:rPr/>
            </w:pPr>
            <w:r>
              <w:rPr/>
            </w:r>
          </w:p>
          <w:p>
            <w:pPr>
              <w:pStyle w:val="Caption"/>
              <w:rPr/>
            </w:pPr>
            <w:r>
              <w:rPr/>
            </w:r>
          </w:p>
          <w:p>
            <w:pPr>
              <w:pStyle w:val="Caption"/>
              <w:rPr/>
            </w:pPr>
            <w:r>
              <w:rPr/>
            </w:r>
          </w:p>
          <w:p>
            <w:pPr>
              <w:pStyle w:val="Caption"/>
              <w:rPr/>
            </w:pPr>
            <w:r>
              <w:rPr/>
              <w:t>TRANSWESTERN PIPELINE COMPANY</w:t>
            </w:r>
          </w:p>
        </w:tc>
        <w:tc>
          <w:tcPr>
            <w:tcW w:w="4068" w:type="dxa"/>
            <w:tcBorders/>
          </w:tcPr>
          <w:p>
            <w:pPr>
              <w:pStyle w:val="Caption"/>
              <w:ind w:firstLine="612" w:end="0"/>
              <w:rPr/>
            </w:pPr>
            <w:r>
              <w:rPr/>
              <w:t>Docket Nos. RP97-288-009</w:t>
            </w:r>
          </w:p>
          <w:p>
            <w:pPr>
              <w:pStyle w:val="Caption"/>
              <w:ind w:firstLine="612" w:end="0"/>
              <w:rPr/>
            </w:pPr>
            <w:r>
              <w:rPr/>
              <w:t xml:space="preserve">                     </w:t>
            </w:r>
            <w:r>
              <w:rPr/>
              <w:t>RP97-288-010</w:t>
            </w:r>
          </w:p>
          <w:p>
            <w:pPr>
              <w:pStyle w:val="Caption"/>
              <w:ind w:firstLine="612" w:end="0"/>
              <w:rPr/>
            </w:pPr>
            <w:r>
              <w:rPr/>
              <w:t xml:space="preserve">                     </w:t>
            </w:r>
            <w:r>
              <w:rPr/>
              <w:t>RP97-288-011</w:t>
            </w:r>
          </w:p>
          <w:p>
            <w:pPr>
              <w:pStyle w:val="Caption"/>
              <w:ind w:firstLine="612" w:end="0"/>
              <w:rPr/>
            </w:pPr>
            <w:r>
              <w:rPr/>
              <w:t xml:space="preserve">                     </w:t>
            </w:r>
            <w:r>
              <w:rPr/>
              <w:t>RP97-288-012</w:t>
            </w:r>
          </w:p>
          <w:p>
            <w:pPr>
              <w:pStyle w:val="Caption"/>
              <w:ind w:firstLine="612" w:end="0"/>
              <w:rPr/>
            </w:pPr>
            <w:r>
              <w:rPr/>
              <w:t xml:space="preserve">                     </w:t>
            </w:r>
            <w:r>
              <w:rPr/>
              <w:t>RP97-288-013</w:t>
            </w:r>
          </w:p>
          <w:p>
            <w:pPr>
              <w:pStyle w:val="Caption"/>
              <w:ind w:firstLine="612" w:end="0"/>
              <w:rPr/>
            </w:pPr>
            <w:r>
              <w:rPr/>
              <w:t xml:space="preserve">                     </w:t>
            </w:r>
            <w:r>
              <w:rPr/>
              <w:t>RP97-288-014</w:t>
            </w:r>
          </w:p>
          <w:p>
            <w:pPr>
              <w:pStyle w:val="Caption"/>
              <w:ind w:firstLine="612" w:end="0"/>
              <w:rPr/>
            </w:pPr>
            <w:r>
              <w:rPr/>
              <w:t xml:space="preserve">                     </w:t>
            </w:r>
            <w:r>
              <w:rPr/>
              <w:t>RP97-288-015</w:t>
            </w:r>
          </w:p>
          <w:p>
            <w:pPr>
              <w:pStyle w:val="Caption"/>
              <w:ind w:firstLine="612" w:end="0"/>
              <w:rPr/>
            </w:pPr>
            <w:r>
              <w:rPr/>
              <w:t xml:space="preserve">                     </w:t>
            </w:r>
            <w:r>
              <w:rPr/>
              <w:t>RP97-288-016</w:t>
            </w:r>
          </w:p>
          <w:p>
            <w:pPr>
              <w:pStyle w:val="Caption"/>
              <w:ind w:firstLine="612" w:end="0"/>
              <w:rPr/>
            </w:pPr>
            <w:r>
              <w:rPr/>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Footer"/>
        <w:tabs>
          <w:tab w:val="clear" w:pos="4320"/>
          <w:tab w:val="clear" w:pos="8640"/>
        </w:tabs>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jc w:val="center"/>
        <w:rPr>
          <w:b/>
          <w:sz w:val="28"/>
        </w:rPr>
      </w:pPr>
      <w:r>
        <w:rPr>
          <w:b/>
          <w:sz w:val="28"/>
        </w:rPr>
        <w:t xml:space="preserve">INITIAL BRIEF </w:t>
      </w:r>
    </w:p>
    <w:p>
      <w:pPr>
        <w:pStyle w:val="Normal"/>
        <w:jc w:val="center"/>
        <w:rPr>
          <w:b/>
          <w:sz w:val="28"/>
        </w:rPr>
      </w:pPr>
      <w:r>
        <w:rPr>
          <w:b/>
          <w:sz w:val="28"/>
        </w:rPr>
        <w:t>OF THE PUBLIC UTILITIES COMMISSION</w:t>
      </w:r>
    </w:p>
    <w:p>
      <w:pPr>
        <w:pStyle w:val="Normal"/>
        <w:jc w:val="center"/>
        <w:rPr>
          <w:b/>
          <w:sz w:val="28"/>
        </w:rPr>
      </w:pPr>
      <w:r>
        <w:rPr>
          <w:b/>
          <w:sz w:val="28"/>
        </w:rPr>
        <w:t>OF THE STATE OF CALIFORNIA</w:t>
      </w:r>
    </w:p>
    <w:p>
      <w:pPr>
        <w:pStyle w:val="BodyText"/>
        <w:numPr>
          <w:ilvl w:val="0"/>
          <w:numId w:val="0"/>
        </w:numPr>
        <w:spacing w:lineRule="auto" w:line="240"/>
        <w:ind w:firstLine="605" w:start="86" w:end="0"/>
        <w:outlineLvl w:val="0"/>
        <w:rPr>
          <w:b/>
          <w:sz w:val="28"/>
        </w:rPr>
      </w:pPr>
      <w:r>
        <w:rPr>
          <w:b/>
          <w:sz w:val="28"/>
        </w:rPr>
      </w:r>
    </w:p>
    <w:p>
      <w:pPr>
        <w:pStyle w:val="BodyText"/>
        <w:numPr>
          <w:ilvl w:val="0"/>
          <w:numId w:val="0"/>
        </w:numPr>
        <w:spacing w:lineRule="auto" w:line="240"/>
        <w:ind w:firstLine="605" w:start="86" w:end="0"/>
        <w:outlineLvl w:val="0"/>
        <w:rPr/>
      </w:pPr>
      <w:r>
        <w:rPr/>
      </w:r>
    </w:p>
    <w:p>
      <w:pPr>
        <w:pStyle w:val="BodyText"/>
        <w:numPr>
          <w:ilvl w:val="0"/>
          <w:numId w:val="0"/>
        </w:numPr>
        <w:spacing w:lineRule="auto" w:line="240"/>
        <w:ind w:firstLine="605" w:start="86" w:end="0"/>
        <w:outlineLvl w:val="0"/>
        <w:rPr/>
      </w:pPr>
      <w:r>
        <w:rPr/>
      </w:r>
    </w:p>
    <w:p>
      <w:pPr>
        <w:pStyle w:val="BodyText"/>
        <w:numPr>
          <w:ilvl w:val="0"/>
          <w:numId w:val="0"/>
        </w:numPr>
        <w:spacing w:lineRule="auto" w:line="240"/>
        <w:ind w:firstLine="605" w:start="86" w:end="0"/>
        <w:outlineLvl w:val="0"/>
        <w:rPr/>
      </w:pPr>
      <w:r>
        <w:rPr/>
      </w:r>
    </w:p>
    <w:p>
      <w:pPr>
        <w:pStyle w:val="BodyText"/>
        <w:numPr>
          <w:ilvl w:val="0"/>
          <w:numId w:val="0"/>
        </w:numPr>
        <w:spacing w:lineRule="auto" w:line="240"/>
        <w:ind w:firstLine="605" w:start="86" w:end="0"/>
        <w:outlineLvl w:val="0"/>
        <w:rPr/>
      </w:pPr>
      <w:r>
        <w:rPr/>
      </w:r>
    </w:p>
    <w:p>
      <w:pPr>
        <w:pStyle w:val="BodyText"/>
        <w:numPr>
          <w:ilvl w:val="0"/>
          <w:numId w:val="0"/>
        </w:numPr>
        <w:spacing w:lineRule="auto" w:line="240"/>
        <w:ind w:firstLine="605" w:start="86" w:end="0"/>
        <w:outlineLvl w:val="0"/>
        <w:rPr/>
      </w:pPr>
      <w:r>
        <w:rPr/>
      </w:r>
    </w:p>
    <w:p>
      <w:pPr>
        <w:pStyle w:val="BodyText"/>
        <w:numPr>
          <w:ilvl w:val="0"/>
          <w:numId w:val="0"/>
        </w:numPr>
        <w:spacing w:lineRule="auto" w:line="240"/>
        <w:ind w:firstLine="605" w:start="86" w:end="0"/>
        <w:outlineLvl w:val="0"/>
        <w:rPr/>
      </w:pPr>
      <w:r>
        <w:rPr/>
        <w:tab/>
        <w:tab/>
        <w:tab/>
        <w:tab/>
        <w:tab/>
        <w:tab/>
        <w:tab/>
        <w:t>GARY M. COHEN</w:t>
      </w:r>
    </w:p>
    <w:p>
      <w:pPr>
        <w:pStyle w:val="BodyText"/>
        <w:numPr>
          <w:ilvl w:val="0"/>
          <w:numId w:val="0"/>
        </w:numPr>
        <w:spacing w:lineRule="auto" w:line="240"/>
        <w:ind w:firstLine="605" w:start="86" w:end="0"/>
        <w:outlineLvl w:val="0"/>
        <w:rPr/>
      </w:pPr>
      <w:r>
        <w:rPr/>
        <w:tab/>
        <w:tab/>
        <w:tab/>
        <w:tab/>
        <w:tab/>
        <w:tab/>
        <w:tab/>
        <w:t>AROCLES AGUILAR</w:t>
      </w:r>
    </w:p>
    <w:p>
      <w:pPr>
        <w:pStyle w:val="BodyText"/>
        <w:spacing w:lineRule="auto" w:line="240"/>
        <w:ind w:firstLine="605" w:start="86" w:end="0"/>
        <w:rPr/>
      </w:pPr>
      <w:r>
        <w:rPr/>
        <w:tab/>
        <w:tab/>
        <w:tab/>
        <w:tab/>
        <w:tab/>
        <w:tab/>
        <w:tab/>
        <w:t>IDA PASSAMONTI</w:t>
      </w:r>
    </w:p>
    <w:p>
      <w:pPr>
        <w:pStyle w:val="BodyText"/>
        <w:spacing w:lineRule="auto" w:line="240"/>
        <w:ind w:firstLine="605" w:start="86" w:end="0"/>
        <w:rPr/>
      </w:pPr>
      <w:r>
        <w:rPr/>
      </w:r>
    </w:p>
    <w:p>
      <w:pPr>
        <w:pStyle w:val="BodyText"/>
        <w:spacing w:lineRule="auto" w:line="240"/>
        <w:ind w:firstLine="605" w:start="86" w:end="0"/>
        <w:rPr/>
      </w:pPr>
      <w:r>
        <w:rPr/>
        <w:tab/>
        <w:tab/>
        <w:tab/>
        <w:tab/>
        <w:tab/>
        <w:tab/>
        <w:tab/>
        <w:t>Attorneys for the Public Utilities</w:t>
      </w:r>
    </w:p>
    <w:p>
      <w:pPr>
        <w:pStyle w:val="BodyText"/>
        <w:spacing w:lineRule="auto" w:line="240"/>
        <w:ind w:hanging="0" w:start="5040" w:end="-90"/>
        <w:rPr/>
      </w:pPr>
      <w:r>
        <w:rPr/>
        <w:t>Commission of the State of California</w:t>
      </w:r>
    </w:p>
    <w:p>
      <w:pPr>
        <w:pStyle w:val="BodyText"/>
        <w:numPr>
          <w:ilvl w:val="0"/>
          <w:numId w:val="0"/>
        </w:numPr>
        <w:spacing w:lineRule="auto" w:line="240"/>
        <w:ind w:firstLine="605" w:start="86" w:end="0"/>
        <w:outlineLvl w:val="0"/>
        <w:rPr/>
      </w:pPr>
      <w:r>
        <w:rPr/>
      </w:r>
    </w:p>
    <w:p>
      <w:pPr>
        <w:pStyle w:val="BodyText"/>
        <w:numPr>
          <w:ilvl w:val="0"/>
          <w:numId w:val="0"/>
        </w:numPr>
        <w:spacing w:lineRule="auto" w:line="240"/>
        <w:ind w:firstLine="1" w:start="5040" w:end="0"/>
        <w:outlineLvl w:val="0"/>
        <w:rPr/>
      </w:pPr>
      <w:r>
        <w:rPr/>
        <w:t>505 Van Ness Avenue</w:t>
      </w:r>
    </w:p>
    <w:p>
      <w:pPr>
        <w:pStyle w:val="BodyText"/>
        <w:numPr>
          <w:ilvl w:val="0"/>
          <w:numId w:val="0"/>
        </w:numPr>
        <w:spacing w:lineRule="auto" w:line="240"/>
        <w:ind w:firstLine="1" w:start="5040" w:end="0"/>
        <w:outlineLvl w:val="0"/>
        <w:rPr/>
      </w:pPr>
      <w:r>
        <w:rPr/>
        <w:t>Room 5138</w:t>
      </w:r>
    </w:p>
    <w:p>
      <w:pPr>
        <w:pStyle w:val="BodyText"/>
        <w:numPr>
          <w:ilvl w:val="0"/>
          <w:numId w:val="0"/>
        </w:numPr>
        <w:spacing w:lineRule="auto" w:line="240"/>
        <w:ind w:firstLine="605" w:start="86" w:end="0"/>
        <w:outlineLvl w:val="0"/>
        <w:rPr/>
      </w:pPr>
      <w:r>
        <w:rPr/>
        <w:tab/>
        <w:tab/>
        <w:tab/>
        <w:tab/>
        <w:tab/>
        <w:tab/>
        <w:tab/>
        <w:t>San Francisco, CA  94102</w:t>
      </w:r>
    </w:p>
    <w:p>
      <w:pPr>
        <w:sectPr>
          <w:footerReference w:type="default" r:id="rId2"/>
          <w:footerReference w:type="first" r:id="rId3"/>
          <w:type w:val="nextPage"/>
          <w:pgSz w:w="12240" w:h="15840"/>
          <w:pgMar w:left="1800" w:right="1800" w:gutter="0" w:header="0" w:top="1440" w:footer="720" w:bottom="1440"/>
          <w:pgNumType w:fmt="lowerRoman"/>
          <w:formProt w:val="false"/>
          <w:titlePg/>
          <w:textDirection w:val="lrTb"/>
          <w:docGrid w:type="default" w:linePitch="360" w:charSpace="0"/>
        </w:sectPr>
        <w:pStyle w:val="BodyText"/>
        <w:numPr>
          <w:ilvl w:val="0"/>
          <w:numId w:val="0"/>
        </w:numPr>
        <w:spacing w:lineRule="auto" w:line="240"/>
        <w:ind w:firstLine="4" w:start="86" w:end="0"/>
        <w:outlineLvl w:val="0"/>
        <w:rPr/>
      </w:pPr>
      <w:r>
        <w:rPr/>
        <w:t>Filed:  September 6, 2001</w:t>
        <w:tab/>
        <w:tab/>
        <w:tab/>
        <w:tab/>
        <w:t>Phone (415) 703-1944</w:t>
      </w:r>
    </w:p>
    <w:p>
      <w:pPr>
        <w:pStyle w:val="BodyText"/>
        <w:ind w:firstLine="90" w:end="360"/>
        <w:jc w:val="center"/>
        <w:rPr>
          <w:b/>
          <w:bCs/>
        </w:rPr>
      </w:pPr>
      <w:r>
        <w:rPr>
          <w:b/>
          <w:bCs/>
        </w:rPr>
        <w:t>TABLE OF CONTENTS</w:t>
      </w:r>
    </w:p>
    <w:p>
      <w:pPr>
        <w:pStyle w:val="BodyText"/>
        <w:spacing w:lineRule="auto" w:line="240"/>
        <w:ind w:firstLine="90" w:start="360" w:end="90"/>
        <w:rPr/>
      </w:pPr>
      <w:r>
        <w:rPr/>
        <w:tab/>
        <w:tab/>
        <w:tab/>
        <w:tab/>
        <w:tab/>
        <w:tab/>
        <w:tab/>
        <w:tab/>
        <w:tab/>
        <w:tab/>
        <w:t xml:space="preserve">            </w:t>
      </w:r>
      <w:r>
        <w:rPr>
          <w:u w:val="single"/>
        </w:rPr>
        <w:t>Page</w:t>
      </w:r>
    </w:p>
    <w:p>
      <w:pPr>
        <w:pStyle w:val="BodyText"/>
        <w:spacing w:lineRule="auto" w:line="240"/>
        <w:ind w:firstLine="90" w:start="360" w:end="360"/>
        <w:rPr>
          <w:b/>
          <w:bCs/>
          <w:u w:val="single"/>
        </w:rPr>
      </w:pPr>
      <w:r>
        <w:rPr>
          <w:b/>
          <w:bCs/>
          <w:u w:val="single"/>
        </w:rPr>
      </w:r>
    </w:p>
    <w:p>
      <w:pPr>
        <w:pStyle w:val="BodyText"/>
        <w:tabs>
          <w:tab w:val="clear" w:pos="720"/>
          <w:tab w:val="right" w:pos="8640" w:leader="dot"/>
        </w:tabs>
        <w:spacing w:lineRule="auto" w:line="240"/>
        <w:ind w:hanging="0" w:end="360"/>
        <w:rPr/>
      </w:pPr>
      <w:r>
        <w:rPr/>
        <w:t>TABLE OF AUTHORITIES</w:t>
        <w:tab/>
        <w:t>ii</w:t>
      </w:r>
    </w:p>
    <w:p>
      <w:pPr>
        <w:pStyle w:val="BodyText"/>
        <w:spacing w:lineRule="auto" w:line="240"/>
        <w:ind w:hanging="0" w:end="360"/>
        <w:rPr>
          <w:b/>
          <w:bCs/>
          <w:u w:val="single"/>
        </w:rPr>
      </w:pPr>
      <w:r>
        <w:rPr>
          <w:b/>
          <w:bCs/>
          <w:u w:val="single"/>
        </w:rPr>
      </w:r>
    </w:p>
    <w:sdt>
      <w:sdtPr>
        <w:docPartObj>
          <w:docPartGallery w:val="Table of Contents"/>
          <w:docPartUnique w:val="true"/>
        </w:docPartObj>
      </w:sdtPr>
      <w:sdtContent>
        <w:p>
          <w:pPr>
            <w:pStyle w:val="TOC1"/>
            <w:tabs>
              <w:tab w:val="left" w:pos="720" w:leader="none"/>
              <w:tab w:val="right" w:pos="8640" w:leader="dot"/>
            </w:tabs>
            <w:rPr>
              <w:b w:val="false"/>
              <w:caps w:val="false"/>
              <w:smallCaps w:val="false"/>
              <w:sz w:val="24"/>
              <w:szCs w:val="24"/>
            </w:rPr>
          </w:pPr>
          <w:r>
            <w:fldChar w:fldCharType="begin"/>
          </w:r>
          <w:r>
            <w:rPr>
              <w:rStyle w:val="IndexLink"/>
              <w:sz w:val="24"/>
              <w:b/>
              <w:szCs w:val="28"/>
            </w:rPr>
            <w:instrText xml:space="preserve"> TOC \o "1-5" \h \z </w:instrText>
          </w:r>
          <w:r>
            <w:rPr>
              <w:rStyle w:val="IndexLink"/>
              <w:sz w:val="24"/>
              <w:b/>
              <w:szCs w:val="28"/>
            </w:rPr>
            <w:fldChar w:fldCharType="separate"/>
          </w:r>
          <w:hyperlink w:anchor="__RefHeading___Toc524418585">
            <w:r>
              <w:rPr>
                <w:rStyle w:val="IndexLink"/>
                <w:b/>
                <w:sz w:val="24"/>
                <w:szCs w:val="28"/>
              </w:rPr>
              <w:t>I.</w:t>
            </w:r>
            <w:r>
              <w:rPr>
                <w:rStyle w:val="IndexLink"/>
                <w:b w:val="false"/>
                <w:caps w:val="false"/>
                <w:smallCaps w:val="false"/>
                <w:sz w:val="24"/>
                <w:szCs w:val="24"/>
              </w:rPr>
              <w:tab/>
              <w:tab/>
            </w:r>
            <w:r>
              <w:rPr>
                <w:rStyle w:val="IndexLink"/>
                <w:b/>
                <w:sz w:val="24"/>
                <w:szCs w:val="28"/>
              </w:rPr>
              <w:t>SUMMARY OF POSITION OF THE CPUC</w:t>
            </w:r>
            <w:r>
              <w:rPr>
                <w:rStyle w:val="IndexLink"/>
                <w:b w:val="false"/>
                <w:sz w:val="24"/>
              </w:rPr>
              <w:tab/>
              <w:t>2</w:t>
            </w:r>
          </w:hyperlink>
        </w:p>
        <w:p>
          <w:pPr>
            <w:pStyle w:val="TOC1"/>
            <w:tabs>
              <w:tab w:val="left" w:pos="720" w:leader="none"/>
              <w:tab w:val="right" w:pos="8640" w:leader="dot"/>
            </w:tabs>
            <w:rPr>
              <w:b w:val="false"/>
              <w:caps w:val="false"/>
              <w:smallCaps w:val="false"/>
              <w:sz w:val="24"/>
              <w:szCs w:val="24"/>
            </w:rPr>
          </w:pPr>
          <w:hyperlink w:anchor="__RefHeading___Toc524418586">
            <w:r>
              <w:rPr>
                <w:rStyle w:val="IndexLink"/>
                <w:b/>
                <w:sz w:val="24"/>
                <w:szCs w:val="28"/>
              </w:rPr>
              <w:t>II.</w:t>
            </w:r>
            <w:r>
              <w:rPr>
                <w:rStyle w:val="IndexLink"/>
                <w:b w:val="false"/>
                <w:caps w:val="false"/>
                <w:smallCaps w:val="false"/>
                <w:sz w:val="24"/>
                <w:szCs w:val="24"/>
              </w:rPr>
              <w:tab/>
              <w:tab/>
            </w:r>
            <w:r>
              <w:rPr>
                <w:rStyle w:val="IndexLink"/>
                <w:b/>
                <w:sz w:val="24"/>
                <w:szCs w:val="28"/>
              </w:rPr>
              <w:t>BACKGROUND</w:t>
            </w:r>
            <w:r>
              <w:rPr>
                <w:rStyle w:val="IndexLink"/>
                <w:b w:val="false"/>
                <w:sz w:val="24"/>
              </w:rPr>
              <w:tab/>
              <w:t>5</w:t>
            </w:r>
          </w:hyperlink>
        </w:p>
        <w:p>
          <w:pPr>
            <w:pStyle w:val="TOC1"/>
            <w:tabs>
              <w:tab w:val="left" w:pos="720" w:leader="none"/>
              <w:tab w:val="right" w:pos="8640" w:leader="dot"/>
            </w:tabs>
            <w:rPr>
              <w:b w:val="false"/>
              <w:caps w:val="false"/>
              <w:smallCaps w:val="false"/>
              <w:sz w:val="24"/>
              <w:szCs w:val="24"/>
            </w:rPr>
          </w:pPr>
          <w:hyperlink w:anchor="__RefHeading___Toc524418587">
            <w:r>
              <w:rPr>
                <w:rStyle w:val="IndexLink"/>
                <w:b/>
                <w:sz w:val="24"/>
                <w:szCs w:val="28"/>
              </w:rPr>
              <w:t>III.</w:t>
            </w:r>
            <w:r>
              <w:rPr>
                <w:rStyle w:val="IndexLink"/>
                <w:b w:val="false"/>
                <w:caps w:val="false"/>
                <w:smallCaps w:val="false"/>
                <w:sz w:val="24"/>
                <w:szCs w:val="24"/>
              </w:rPr>
              <w:tab/>
            </w:r>
            <w:r>
              <w:rPr>
                <w:rStyle w:val="IndexLink"/>
                <w:b/>
                <w:sz w:val="24"/>
                <w:szCs w:val="28"/>
              </w:rPr>
              <w:t>DISCUSSION OF ISSUES</w:t>
            </w:r>
            <w:r>
              <w:rPr>
                <w:rStyle w:val="IndexLink"/>
                <w:b w:val="false"/>
                <w:sz w:val="24"/>
              </w:rPr>
              <w:tab/>
              <w:t>7</w:t>
            </w:r>
          </w:hyperlink>
        </w:p>
        <w:p>
          <w:pPr>
            <w:pStyle w:val="TOC2"/>
            <w:tabs>
              <w:tab w:val="left" w:pos="1109" w:leader="none"/>
              <w:tab w:val="right" w:pos="8640" w:leader="dot"/>
            </w:tabs>
            <w:rPr>
              <w:caps w:val="false"/>
              <w:smallCaps w:val="false"/>
              <w:szCs w:val="24"/>
            </w:rPr>
          </w:pPr>
          <w:hyperlink w:anchor="__RefHeading___Toc524418588">
            <w:r>
              <w:rPr>
                <w:rStyle w:val="IndexLink"/>
                <w:szCs w:val="26"/>
              </w:rPr>
              <w:t>A.</w:t>
            </w:r>
            <w:r>
              <w:rPr>
                <w:rStyle w:val="IndexLink"/>
                <w:caps w:val="false"/>
                <w:smallCaps w:val="false"/>
                <w:szCs w:val="24"/>
              </w:rPr>
              <w:tab/>
            </w:r>
            <w:r>
              <w:rPr>
                <w:rStyle w:val="IndexLink"/>
                <w:szCs w:val="26"/>
              </w:rPr>
              <w:t>Was The Transportation Capacity At Issue Advertised and Awarded In An Accurate and Fair Manner Consistent With Transwestern’s Tariff?</w:t>
            </w:r>
            <w:r>
              <w:rPr>
                <w:rStyle w:val="IndexLink"/>
              </w:rPr>
              <w:tab/>
              <w:t>7</w:t>
            </w:r>
          </w:hyperlink>
        </w:p>
        <w:p>
          <w:pPr>
            <w:pStyle w:val="TOC2"/>
            <w:tabs>
              <w:tab w:val="left" w:pos="1109" w:leader="none"/>
              <w:tab w:val="right" w:pos="8640" w:leader="dot"/>
            </w:tabs>
            <w:rPr>
              <w:caps w:val="false"/>
              <w:smallCaps w:val="false"/>
              <w:szCs w:val="24"/>
            </w:rPr>
          </w:pPr>
          <w:hyperlink w:anchor="__RefHeading___Toc524418589">
            <w:r>
              <w:rPr>
                <w:rStyle w:val="IndexLink"/>
                <w:szCs w:val="26"/>
              </w:rPr>
              <w:t>B.</w:t>
            </w:r>
            <w:r>
              <w:rPr>
                <w:rStyle w:val="IndexLink"/>
                <w:caps w:val="false"/>
                <w:smallCaps w:val="false"/>
                <w:szCs w:val="24"/>
              </w:rPr>
              <w:tab/>
            </w:r>
            <w:r>
              <w:rPr>
                <w:rStyle w:val="IndexLink"/>
                <w:szCs w:val="26"/>
              </w:rPr>
              <w:t>Were The Transportation Rates Negotiated By Transwestern With the Shippers the Product Of An Exercise Of Market Power?</w:t>
            </w:r>
            <w:r>
              <w:rPr>
                <w:rStyle w:val="IndexLink"/>
              </w:rPr>
              <w:tab/>
              <w:t>12</w:t>
            </w:r>
          </w:hyperlink>
        </w:p>
        <w:p>
          <w:pPr>
            <w:pStyle w:val="TOC2"/>
            <w:tabs>
              <w:tab w:val="left" w:pos="1109" w:leader="none"/>
              <w:tab w:val="right" w:pos="8640" w:leader="dot"/>
            </w:tabs>
            <w:rPr>
              <w:caps w:val="false"/>
              <w:smallCaps w:val="false"/>
              <w:szCs w:val="24"/>
            </w:rPr>
          </w:pPr>
          <w:hyperlink w:anchor="__RefHeading___Toc524418590">
            <w:r>
              <w:rPr>
                <w:rStyle w:val="IndexLink"/>
                <w:szCs w:val="26"/>
              </w:rPr>
              <w:t>C.</w:t>
            </w:r>
            <w:r>
              <w:rPr>
                <w:rStyle w:val="IndexLink"/>
                <w:caps w:val="false"/>
                <w:smallCaps w:val="false"/>
                <w:szCs w:val="24"/>
              </w:rPr>
              <w:tab/>
            </w:r>
            <w:r>
              <w:rPr>
                <w:rStyle w:val="IndexLink"/>
                <w:szCs w:val="26"/>
              </w:rPr>
              <w:t>Why The Shippers Agreed To These [negotiated] Rates When Significantly Lower Recourse Rates Should Have Been Available Under The Negotiated Rate Program?</w:t>
            </w:r>
            <w:r>
              <w:rPr>
                <w:rStyle w:val="IndexLink"/>
              </w:rPr>
              <w:tab/>
              <w:t>15</w:t>
            </w:r>
          </w:hyperlink>
        </w:p>
        <w:p>
          <w:pPr>
            <w:pStyle w:val="TOC2"/>
            <w:tabs>
              <w:tab w:val="left" w:pos="1109" w:leader="none"/>
              <w:tab w:val="right" w:pos="8640" w:leader="dot"/>
            </w:tabs>
            <w:rPr>
              <w:caps w:val="false"/>
              <w:smallCaps w:val="false"/>
              <w:szCs w:val="24"/>
            </w:rPr>
          </w:pPr>
          <w:hyperlink w:anchor="__RefHeading___Toc524418591">
            <w:r>
              <w:rPr>
                <w:rStyle w:val="IndexLink"/>
                <w:szCs w:val="26"/>
              </w:rPr>
              <w:t>D.</w:t>
            </w:r>
            <w:r>
              <w:rPr>
                <w:rStyle w:val="IndexLink"/>
                <w:caps w:val="false"/>
                <w:smallCaps w:val="false"/>
                <w:szCs w:val="24"/>
              </w:rPr>
              <w:tab/>
            </w:r>
            <w:r>
              <w:rPr>
                <w:rStyle w:val="IndexLink"/>
                <w:szCs w:val="26"/>
              </w:rPr>
              <w:t>Was The Awarded Capacity Available Without Interruption, While Firm Transportation Service Under Transwestern’s Recourse Rates Was Not: If So, Why?</w:t>
            </w:r>
            <w:r>
              <w:rPr>
                <w:rStyle w:val="IndexLink"/>
              </w:rPr>
              <w:tab/>
              <w:t>18</w:t>
            </w:r>
          </w:hyperlink>
        </w:p>
        <w:p>
          <w:pPr>
            <w:pStyle w:val="TOC1"/>
            <w:tabs>
              <w:tab w:val="left" w:pos="720" w:leader="none"/>
              <w:tab w:val="right" w:pos="8640" w:leader="dot"/>
            </w:tabs>
            <w:rPr>
              <w:sz w:val="24"/>
              <w:szCs w:val="24"/>
            </w:rPr>
          </w:pPr>
          <w:hyperlink w:anchor="__RefHeading___Toc524418592">
            <w:r>
              <w:rPr>
                <w:rStyle w:val="IndexLink"/>
                <w:b w:val="false"/>
                <w:caps w:val="false"/>
                <w:smallCaps w:val="false"/>
                <w:sz w:val="24"/>
                <w:szCs w:val="28"/>
              </w:rPr>
              <w:t>IV.</w:t>
            </w:r>
            <w:r>
              <w:rPr>
                <w:rStyle w:val="IndexLink"/>
                <w:b w:val="false"/>
                <w:caps w:val="false"/>
                <w:smallCaps w:val="false"/>
                <w:sz w:val="24"/>
                <w:szCs w:val="24"/>
              </w:rPr>
              <w:tab/>
            </w:r>
            <w:r>
              <w:rPr>
                <w:rStyle w:val="IndexLink"/>
                <w:b w:val="false"/>
                <w:caps w:val="false"/>
                <w:smallCaps w:val="false"/>
                <w:sz w:val="24"/>
                <w:szCs w:val="28"/>
              </w:rPr>
              <w:t>CONCLUSION</w:t>
            </w:r>
            <w:r>
              <w:rPr>
                <w:rStyle w:val="IndexLink"/>
                <w:b w:val="false"/>
                <w:caps w:val="false"/>
                <w:smallCaps w:val="false"/>
                <w:sz w:val="24"/>
              </w:rPr>
              <w:tab/>
              <w:t>20</w:t>
            </w:r>
          </w:hyperlink>
          <w:r>
            <w:rPr>
              <w:rStyle w:val="IndexLink"/>
              <w:smallCaps w:val="false"/>
              <w:caps w:val="false"/>
              <w:sz w:val="24"/>
              <w:b w:val="false"/>
            </w:rPr>
            <w:fldChar w:fldCharType="end"/>
          </w:r>
        </w:p>
      </w:sdtContent>
    </w:sdt>
    <w:p>
      <w:pPr>
        <w:pStyle w:val="BodyText"/>
        <w:spacing w:lineRule="auto" w:line="240"/>
        <w:ind w:hanging="0" w:end="360"/>
        <w:rPr>
          <w:b/>
          <w:bCs/>
          <w:caps/>
          <w:sz w:val="24"/>
          <w:szCs w:val="24"/>
          <w:u w:val="single"/>
          <w:lang w:val="en-CA" w:eastAsia="en-CA"/>
        </w:rPr>
      </w:pPr>
      <w:r>
        <w:rPr>
          <w:b/>
          <w:bCs/>
          <w:caps/>
          <w:sz w:val="24"/>
          <w:szCs w:val="24"/>
          <w:u w:val="single"/>
          <w:lang w:val="en-CA" w:eastAsia="en-CA"/>
        </w:rPr>
      </w:r>
    </w:p>
    <w:p>
      <w:pPr>
        <w:pStyle w:val="BodyText"/>
        <w:spacing w:lineRule="auto" w:line="240"/>
        <w:ind w:hanging="0" w:end="360"/>
        <w:rPr/>
      </w:pPr>
      <w:r>
        <w:rPr/>
        <w:t>CERTIFICATE OF SERVICE</w:t>
      </w:r>
    </w:p>
    <w:p>
      <w:pPr>
        <w:pStyle w:val="BodyText"/>
        <w:spacing w:lineRule="auto" w:line="240"/>
        <w:ind w:hanging="0" w:start="90" w:end="360"/>
        <w:rPr/>
      </w:pPr>
      <w:r>
        <w:rPr/>
      </w:r>
      <w:r>
        <w:br w:type="page"/>
      </w:r>
    </w:p>
    <w:p>
      <w:pPr>
        <w:pStyle w:val="BodyText"/>
        <w:ind w:end="360"/>
        <w:jc w:val="center"/>
        <w:rPr>
          <w:b/>
          <w:bCs/>
          <w:u w:val="single"/>
        </w:rPr>
      </w:pPr>
      <w:r>
        <w:rPr>
          <w:b/>
          <w:bCs/>
          <w:u w:val="single"/>
        </w:rPr>
        <w:t>TABLE OF AUTHORITIES</w:t>
      </w:r>
    </w:p>
    <w:p>
      <w:pPr>
        <w:pStyle w:val="BodyText"/>
        <w:ind w:end="360"/>
        <w:jc w:val="center"/>
        <w:rPr>
          <w:u w:val="single"/>
        </w:rPr>
      </w:pPr>
      <w:r>
        <w:rPr/>
        <w:tab/>
        <w:tab/>
        <w:tab/>
        <w:tab/>
        <w:tab/>
        <w:tab/>
        <w:tab/>
        <w:tab/>
        <w:t xml:space="preserve">                   </w:t>
      </w:r>
    </w:p>
    <w:p>
      <w:pPr>
        <w:pStyle w:val="BodyText"/>
        <w:tabs>
          <w:tab w:val="clear" w:pos="720"/>
          <w:tab w:val="left" w:pos="8460" w:leader="none"/>
        </w:tabs>
        <w:ind w:hanging="0" w:end="270"/>
        <w:rPr>
          <w:b/>
          <w:bCs/>
        </w:rPr>
      </w:pPr>
      <w:r>
        <w:rPr>
          <w:b/>
          <w:bCs/>
          <w:u w:val="single"/>
        </w:rPr>
        <w:t>Federal Court Cases</w:t>
      </w:r>
      <w:r>
        <w:rPr>
          <w:b/>
          <w:bCs/>
        </w:rPr>
        <w:t xml:space="preserve"> </w:t>
        <w:tab/>
      </w:r>
      <w:r>
        <w:rPr>
          <w:b/>
          <w:bCs/>
          <w:u w:val="single"/>
        </w:rPr>
        <w:t>Page</w:t>
      </w:r>
    </w:p>
    <w:p>
      <w:pPr>
        <w:pStyle w:val="BodyText"/>
        <w:tabs>
          <w:tab w:val="clear" w:pos="720"/>
          <w:tab w:val="right" w:pos="8640" w:leader="dot"/>
        </w:tabs>
        <w:spacing w:lineRule="auto" w:line="240"/>
        <w:ind w:hanging="0" w:end="360"/>
        <w:rPr/>
      </w:pPr>
      <w:r>
        <w:rPr>
          <w:u w:val="single"/>
        </w:rPr>
        <w:t>Southern California Edison Company v. Federal Energy Regulatory Commission et al</w:t>
      </w:r>
      <w:r>
        <w:rPr/>
        <w:t>.,</w:t>
      </w:r>
    </w:p>
    <w:p>
      <w:pPr>
        <w:pStyle w:val="BodyText"/>
        <w:tabs>
          <w:tab w:val="clear" w:pos="720"/>
          <w:tab w:val="right" w:pos="8640" w:leader="dot"/>
        </w:tabs>
        <w:spacing w:lineRule="auto" w:line="240"/>
        <w:ind w:hanging="0" w:end="360"/>
        <w:rPr/>
      </w:pPr>
      <w:r>
        <w:rPr/>
        <w:t xml:space="preserve">  </w:t>
      </w:r>
      <w:r>
        <w:rPr/>
        <w:t xml:space="preserve">172 F.3d 74 (D.C. Cir. 1999) </w:t>
        <w:tab/>
        <w:t>4,5</w:t>
      </w:r>
    </w:p>
    <w:p>
      <w:pPr>
        <w:pStyle w:val="BodyText"/>
        <w:spacing w:lineRule="auto" w:line="240"/>
        <w:ind w:hanging="0" w:start="86" w:end="360"/>
        <w:rPr>
          <w:u w:val="single"/>
        </w:rPr>
      </w:pPr>
      <w:r>
        <w:rPr>
          <w:u w:val="single"/>
        </w:rPr>
      </w:r>
    </w:p>
    <w:p>
      <w:pPr>
        <w:pStyle w:val="BodyText"/>
        <w:spacing w:lineRule="auto" w:line="240"/>
        <w:ind w:hanging="86" w:start="86" w:end="360"/>
        <w:rPr>
          <w:b/>
          <w:bCs/>
          <w:u w:val="single"/>
        </w:rPr>
      </w:pPr>
      <w:r>
        <w:rPr>
          <w:b/>
          <w:bCs/>
          <w:u w:val="single"/>
        </w:rPr>
        <w:t>Decisions of the Federal Energy Regulatory Commission</w:t>
      </w:r>
    </w:p>
    <w:p>
      <w:pPr>
        <w:pStyle w:val="BodyText"/>
        <w:spacing w:lineRule="auto" w:line="240"/>
        <w:ind w:hanging="86" w:start="86" w:end="360"/>
        <w:rPr>
          <w:b/>
          <w:bCs/>
          <w:u w:val="single"/>
        </w:rPr>
      </w:pPr>
      <w:r>
        <w:rPr>
          <w:b/>
          <w:bCs/>
          <w:u w:val="single"/>
        </w:rPr>
      </w:r>
    </w:p>
    <w:p>
      <w:pPr>
        <w:pStyle w:val="BodyText"/>
        <w:tabs>
          <w:tab w:val="clear" w:pos="720"/>
          <w:tab w:val="right" w:pos="8640" w:leader="dot"/>
        </w:tabs>
        <w:spacing w:lineRule="auto" w:line="240"/>
        <w:ind w:hanging="86" w:start="86" w:end="360"/>
        <w:rPr/>
      </w:pPr>
      <w:r>
        <w:rPr>
          <w:u w:val="single"/>
        </w:rPr>
        <w:t>Transwestern Pipeline Co</w:t>
      </w:r>
      <w:r>
        <w:rPr/>
        <w:t xml:space="preserve">., “Order To Show Cause,” 94 FERC ¶ 71,337 (March 28, 2001 </w:t>
        <w:tab/>
        <w:t>4,6</w:t>
      </w:r>
    </w:p>
    <w:p>
      <w:pPr>
        <w:pStyle w:val="BodyText"/>
        <w:spacing w:lineRule="auto" w:line="240"/>
        <w:ind w:hanging="86" w:start="86" w:end="360"/>
        <w:rPr/>
      </w:pPr>
      <w:r>
        <w:rPr/>
        <w:t xml:space="preserve"> </w:t>
      </w:r>
    </w:p>
    <w:p>
      <w:pPr>
        <w:pStyle w:val="BodyText"/>
        <w:tabs>
          <w:tab w:val="clear" w:pos="720"/>
          <w:tab w:val="right" w:pos="8640" w:leader="dot"/>
        </w:tabs>
        <w:spacing w:lineRule="auto" w:line="240"/>
        <w:ind w:hanging="86" w:start="86" w:end="360"/>
        <w:rPr/>
      </w:pPr>
      <w:r>
        <w:rPr>
          <w:u w:val="single"/>
        </w:rPr>
        <w:t>Transwestern Pipeline Co.</w:t>
      </w:r>
      <w:r>
        <w:rPr/>
        <w:t xml:space="preserve">, “Order On Negotiated Rate Filings Establishing Hearing Procedures,” 96 FERC ¶ 61,138 (July 26, 2001). </w:t>
        <w:tab/>
        <w:t>4,5,6,7</w:t>
      </w:r>
    </w:p>
    <w:p>
      <w:pPr>
        <w:pStyle w:val="BodyText"/>
        <w:spacing w:lineRule="auto" w:line="240"/>
        <w:ind w:hanging="86" w:start="86" w:end="360"/>
        <w:rPr/>
      </w:pPr>
      <w:r>
        <w:rPr/>
      </w:r>
    </w:p>
    <w:p>
      <w:pPr>
        <w:pStyle w:val="BodyText"/>
        <w:spacing w:lineRule="auto" w:line="240"/>
        <w:ind w:hanging="86" w:start="86" w:end="360"/>
        <w:rPr/>
      </w:pPr>
      <w:r>
        <w:rPr>
          <w:u w:val="single"/>
        </w:rPr>
        <w:t>Southern California Edison Co. v. Southern California Gas Co</w:t>
      </w:r>
      <w:r>
        <w:rPr/>
        <w:t xml:space="preserve">., </w:t>
      </w:r>
    </w:p>
    <w:p>
      <w:pPr>
        <w:pStyle w:val="BodyText"/>
        <w:tabs>
          <w:tab w:val="clear" w:pos="720"/>
          <w:tab w:val="right" w:pos="8640" w:leader="dot"/>
        </w:tabs>
        <w:spacing w:lineRule="auto" w:line="240"/>
        <w:ind w:hanging="86" w:start="86" w:end="360"/>
        <w:rPr/>
      </w:pPr>
      <w:r>
        <w:rPr/>
        <w:t xml:space="preserve">  </w:t>
      </w:r>
      <w:r>
        <w:rPr/>
        <w:t xml:space="preserve">80 FERC </w:t>
      </w:r>
      <w:r>
        <w:rPr>
          <w:szCs w:val="16"/>
        </w:rPr>
        <w:t xml:space="preserve">§61,390, 62,302 (1997). </w:t>
        <w:tab/>
        <w:t>12</w:t>
      </w:r>
    </w:p>
    <w:p>
      <w:pPr>
        <w:sectPr>
          <w:footerReference w:type="default" r:id="rId4"/>
          <w:footerReference w:type="first" r:id="rId5"/>
          <w:type w:val="nextPage"/>
          <w:pgSz w:w="12240" w:h="15840"/>
          <w:pgMar w:left="1800" w:right="1800" w:gutter="0" w:header="0" w:top="1440" w:footer="720" w:bottom="1440"/>
          <w:pgNumType w:start="1" w:fmt="lowerRoman"/>
          <w:formProt w:val="false"/>
          <w:textDirection w:val="lrTb"/>
          <w:docGrid w:type="default" w:linePitch="360" w:charSpace="0"/>
        </w:sectPr>
        <w:pStyle w:val="BodyText"/>
        <w:spacing w:lineRule="auto" w:line="240"/>
        <w:ind w:hanging="86" w:start="86" w:end="360"/>
        <w:rPr/>
      </w:pPr>
      <w:r>
        <w:rPr/>
      </w:r>
    </w:p>
    <w:p>
      <w:pPr>
        <w:pStyle w:val="Normal"/>
        <w:tabs>
          <w:tab w:val="clear" w:pos="720"/>
          <w:tab w:val="left" w:pos="9270" w:leader="none"/>
        </w:tabs>
        <w:jc w:val="center"/>
        <w:rPr>
          <w:smallCaps/>
        </w:rPr>
      </w:pPr>
      <w:r>
        <w:rPr>
          <w:smallCaps/>
        </w:rPr>
      </w:r>
    </w:p>
    <w:p>
      <w:pPr>
        <w:pStyle w:val="Normal"/>
        <w:tabs>
          <w:tab w:val="clear" w:pos="720"/>
          <w:tab w:val="left" w:pos="9270" w:leader="none"/>
        </w:tabs>
        <w:jc w:val="center"/>
        <w:rPr/>
      </w:pPr>
      <w:r>
        <w:rPr>
          <w:smallCaps/>
          <w:sz w:val="24"/>
        </w:rPr>
        <w:t>UNITED</w:t>
      </w:r>
      <w:r>
        <w:rPr>
          <w:sz w:val="24"/>
        </w:rPr>
        <w:t xml:space="preserve"> </w:t>
      </w:r>
      <w:r>
        <w:rPr>
          <w:smallCaps/>
          <w:sz w:val="24"/>
        </w:rPr>
        <w:t>STATES</w:t>
      </w:r>
      <w:r>
        <w:rPr>
          <w:sz w:val="24"/>
        </w:rPr>
        <w:t xml:space="preserve"> OF AMERICA</w:t>
      </w:r>
    </w:p>
    <w:p>
      <w:pPr>
        <w:pStyle w:val="Normal"/>
        <w:jc w:val="center"/>
        <w:rPr>
          <w:smallCaps/>
          <w:sz w:val="24"/>
        </w:rPr>
      </w:pPr>
      <w:r>
        <w:rPr>
          <w:smallCaps/>
          <w:sz w:val="24"/>
        </w:rPr>
        <w:t xml:space="preserve">BEFORE THE </w:t>
      </w:r>
    </w:p>
    <w:p>
      <w:pPr>
        <w:pStyle w:val="Normal"/>
        <w:jc w:val="center"/>
        <w:rPr>
          <w:smallCaps/>
          <w:sz w:val="24"/>
        </w:rPr>
      </w:pPr>
      <w:r>
        <w:rPr>
          <w:smallCaps/>
          <w:sz w:val="24"/>
        </w:rPr>
        <w:t>FEDERAL ENERGY REGULATORY COMMISSION</w:t>
      </w:r>
    </w:p>
    <w:p>
      <w:pPr>
        <w:pStyle w:val="Normal"/>
        <w:spacing w:before="0" w:after="120"/>
        <w:rPr>
          <w:smallCaps/>
          <w:sz w:val="24"/>
        </w:rPr>
      </w:pPr>
      <w:r>
        <w:rPr>
          <w:smallCaps/>
          <w:sz w:val="24"/>
        </w:rPr>
      </w:r>
    </w:p>
    <w:p>
      <w:pPr>
        <w:pStyle w:val="Normal"/>
        <w:spacing w:before="0" w:after="120"/>
        <w:rPr>
          <w:smallCaps/>
          <w:sz w:val="24"/>
        </w:rPr>
      </w:pPr>
      <w:r>
        <w:rPr>
          <w:smallCaps/>
          <w:sz w:val="24"/>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snapToGrid w:val="false"/>
              <w:rPr/>
            </w:pPr>
            <w:r>
              <w:rPr/>
            </w:r>
          </w:p>
          <w:p>
            <w:pPr>
              <w:pStyle w:val="Caption"/>
              <w:rPr/>
            </w:pPr>
            <w:r>
              <w:rPr/>
            </w:r>
          </w:p>
          <w:p>
            <w:pPr>
              <w:pStyle w:val="Caption"/>
              <w:rPr/>
            </w:pPr>
            <w:r>
              <w:rPr/>
            </w:r>
          </w:p>
          <w:p>
            <w:pPr>
              <w:pStyle w:val="Caption"/>
              <w:rPr/>
            </w:pPr>
            <w:r>
              <w:rPr/>
              <w:t>TRANSWESTERN PIPELINE COMPANY</w:t>
            </w:r>
          </w:p>
        </w:tc>
        <w:tc>
          <w:tcPr>
            <w:tcW w:w="4068" w:type="dxa"/>
            <w:tcBorders/>
          </w:tcPr>
          <w:p>
            <w:pPr>
              <w:pStyle w:val="Caption"/>
              <w:ind w:firstLine="612" w:end="0"/>
              <w:rPr/>
            </w:pPr>
            <w:r>
              <w:rPr/>
              <w:t>Docket Nos. RP97-288-009</w:t>
            </w:r>
          </w:p>
          <w:p>
            <w:pPr>
              <w:pStyle w:val="Caption"/>
              <w:ind w:firstLine="612" w:end="0"/>
              <w:rPr/>
            </w:pPr>
            <w:r>
              <w:rPr/>
              <w:t xml:space="preserve">                     </w:t>
            </w:r>
            <w:r>
              <w:rPr/>
              <w:t>RP97-288-010</w:t>
            </w:r>
          </w:p>
          <w:p>
            <w:pPr>
              <w:pStyle w:val="Caption"/>
              <w:ind w:firstLine="612" w:end="0"/>
              <w:rPr/>
            </w:pPr>
            <w:r>
              <w:rPr/>
              <w:t xml:space="preserve">                     </w:t>
            </w:r>
            <w:r>
              <w:rPr/>
              <w:t>RP97-288-011</w:t>
            </w:r>
          </w:p>
          <w:p>
            <w:pPr>
              <w:pStyle w:val="Caption"/>
              <w:ind w:firstLine="612" w:end="0"/>
              <w:rPr/>
            </w:pPr>
            <w:r>
              <w:rPr/>
              <w:t xml:space="preserve">                     </w:t>
            </w:r>
            <w:r>
              <w:rPr/>
              <w:t>RP97-288-012</w:t>
            </w:r>
          </w:p>
          <w:p>
            <w:pPr>
              <w:pStyle w:val="Caption"/>
              <w:ind w:firstLine="612" w:end="0"/>
              <w:rPr/>
            </w:pPr>
            <w:r>
              <w:rPr/>
              <w:t xml:space="preserve">                     </w:t>
            </w:r>
            <w:r>
              <w:rPr/>
              <w:t>RP97-288-013</w:t>
            </w:r>
          </w:p>
          <w:p>
            <w:pPr>
              <w:pStyle w:val="Caption"/>
              <w:ind w:firstLine="612" w:end="0"/>
              <w:rPr/>
            </w:pPr>
            <w:r>
              <w:rPr/>
              <w:t xml:space="preserve">                     </w:t>
            </w:r>
            <w:r>
              <w:rPr/>
              <w:t>RP97-288-014</w:t>
            </w:r>
          </w:p>
          <w:p>
            <w:pPr>
              <w:pStyle w:val="Caption"/>
              <w:ind w:firstLine="612" w:end="0"/>
              <w:rPr/>
            </w:pPr>
            <w:r>
              <w:rPr/>
              <w:t xml:space="preserve">                     </w:t>
            </w:r>
            <w:r>
              <w:rPr/>
              <w:t>RP97-288-015</w:t>
            </w:r>
          </w:p>
          <w:p>
            <w:pPr>
              <w:pStyle w:val="Caption"/>
              <w:ind w:firstLine="612" w:end="0"/>
              <w:rPr/>
            </w:pPr>
            <w:r>
              <w:rPr/>
              <w:t xml:space="preserve">                     </w:t>
            </w:r>
            <w:r>
              <w:rPr/>
              <w:t>RP97-288-016</w:t>
            </w:r>
          </w:p>
          <w:p>
            <w:pPr>
              <w:pStyle w:val="Caption"/>
              <w:ind w:firstLine="612" w:end="0"/>
              <w:rPr/>
            </w:pPr>
            <w:r>
              <w:rPr/>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Footer"/>
        <w:tabs>
          <w:tab w:val="clear" w:pos="4320"/>
          <w:tab w:val="clear" w:pos="8640"/>
        </w:tabs>
        <w:spacing w:before="0" w:after="120"/>
        <w:rPr/>
      </w:pPr>
      <w:r>
        <w:rPr/>
      </w:r>
    </w:p>
    <w:p>
      <w:pPr>
        <w:pStyle w:val="Footer"/>
        <w:tabs>
          <w:tab w:val="clear" w:pos="4320"/>
          <w:tab w:val="clear" w:pos="8640"/>
        </w:tabs>
        <w:spacing w:before="0" w:after="120"/>
        <w:rPr/>
      </w:pPr>
      <w:r>
        <w:rPr/>
      </w:r>
    </w:p>
    <w:p>
      <w:pPr>
        <w:pStyle w:val="BriefTitle"/>
        <w:rPr/>
      </w:pPr>
      <w:r>
        <w:rPr/>
        <w:t>INITIAL BRIEF OF</w:t>
      </w:r>
    </w:p>
    <w:p>
      <w:pPr>
        <w:pStyle w:val="BriefTitle"/>
        <w:rPr/>
      </w:pPr>
      <w:r>
        <w:rPr/>
        <w:t xml:space="preserve">THE PUBLIC UTILITIES COMMISSION </w:t>
      </w:r>
    </w:p>
    <w:p>
      <w:pPr>
        <w:pStyle w:val="BriefTitle"/>
        <w:rPr>
          <w:bCs/>
        </w:rPr>
      </w:pPr>
      <w:r>
        <w:rPr>
          <w:bCs/>
        </w:rPr>
        <w:t>OF THE STATE OF CALIFORNIA</w:t>
      </w:r>
    </w:p>
    <w:p>
      <w:pPr>
        <w:pStyle w:val="BodyText"/>
        <w:rPr>
          <w:bCs/>
        </w:rPr>
      </w:pPr>
      <w:r>
        <w:rPr>
          <w:bCs/>
        </w:rPr>
      </w:r>
    </w:p>
    <w:p>
      <w:pPr>
        <w:pStyle w:val="BodyText"/>
        <w:rPr/>
      </w:pPr>
      <w:r>
        <w:rPr/>
        <w:t>Pursuant to Rule 706 of the Rules of Practice and Procedure of the Federal Energy Regulatory Commission (“FERC”) [18 C.F.R. §706], the Public Utilities Commission of the State of California (“CPUC”) respectfully submits its Initial Brief concerning transportation contracts negotiated by Transwestern Pipeline Company (“Transwestern”) with certain shippers using a specially designed rate formula that took advantage, for the benefit of Transwestern, of the dysfunctional gas market at the California border starting in the latter part of the year 2000.  The filing of this brief is also consistent with the procedural order of the presiding Administrative Law Judge, the Honorable Jacob Leventhal, during the hearing of the matter (TR: 242/7-14).</w:t>
      </w:r>
    </w:p>
    <w:p>
      <w:pPr>
        <w:pStyle w:val="Heading1"/>
        <w:numPr>
          <w:ilvl w:val="0"/>
          <w:numId w:val="2"/>
        </w:numPr>
        <w:rPr/>
      </w:pPr>
      <w:bookmarkStart w:id="0" w:name="__RefHeading___Toc524418585"/>
      <w:bookmarkEnd w:id="0"/>
      <w:r>
        <w:rPr/>
        <w:t>SUMMARY OF POSITION OF THE CPUC</w:t>
      </w:r>
    </w:p>
    <w:p>
      <w:pPr>
        <w:pStyle w:val="Normal"/>
        <w:rPr/>
      </w:pPr>
      <w:r>
        <w:rPr/>
      </w:r>
    </w:p>
    <w:p>
      <w:pPr>
        <w:pStyle w:val="BodyText"/>
        <w:rPr/>
      </w:pPr>
      <w:r>
        <w:rPr/>
        <w:t>This case may have been set for a very tight, expedited hearing because the total volumes involved are relatively small compared to the total volumes shipped to California by Transwestern Pipeline Company (“Transwestern”) and by El Paso Natural Gas Company (“El Paso”).  Nonetheless, the type of Transwestern contract that is the subject of inquiry could become the proverbial tip of the iceberg.  If Transwestern is allowed to continue to negotiate contracts to reap gains from and exacerbate a gas and electricity market in California whenever prices soar without competitive checks, as they did in 2001, other pipelines may follow the lead.</w:t>
      </w:r>
      <w:r>
        <w:rPr>
          <w:rStyle w:val="FootnoteCharacters"/>
          <w:rStyle w:val="FootnoteReference"/>
        </w:rPr>
        <w:footnoteReference w:id="2"/>
      </w:r>
      <w:r>
        <w:rPr/>
        <w:t xml:space="preserve">  Pipelines would have an incentive to withhold capacity at the recourse rate and wait until shippers agreed to higher negotiated rates.  The specially designed Transwestern contracts at issue no doubt were mutually beneficial to the shareholders of Transwestern and to certain shippers, such as Sempra Energy Trading Corp. (“Sempra Trading”) and Richardson Products II, Ltd. (“Richardson”) that had little to fear regarding a profitable sale of the gas volumes in California because of the high demand and extraordinarily high prices that prevailed, particularly during the winter of 2000-2001.  These contracts, however, are also significantly detrimental to individual consumers and businesses caught in the California energy crisis and for whom there is no substitute for natural gas and electricity.  The contracts were created by Transwestern to take advantage of a fundamentally flawed energy market characterized by prices driven up far beyond competitive levels, and they served only to sustain the inflated prices and exacerbate conditions for consumers. In the process, Transwestern’s revenues from the Sempra Trading and Richardson contracts in February and March 2001 were millions of dollars more than they would have been under Transwestern’s maximum recourse rate. (See, Exs. Confidential PUC-3, Confidential PUC-4, Confidential PUC-5, and Transwestern’s Tariff, Vol. 1, revised page 5.)  Whether or not Transwestern’s actions in using such contracts is expressly prohibited by its present tariff, they were nonetheless unjust, unreasonable, and anti-competitive. </w:t>
      </w:r>
    </w:p>
    <w:p>
      <w:pPr>
        <w:pStyle w:val="BodyText"/>
        <w:tabs>
          <w:tab w:val="clear" w:pos="720"/>
          <w:tab w:val="left" w:pos="8730" w:leader="none"/>
        </w:tabs>
        <w:ind w:end="-90"/>
        <w:rPr/>
      </w:pPr>
      <w:r>
        <w:rPr/>
        <w:t>Based therefore on the record of this proceeding, and on the failure of Transwestern to provide, as is its burden, clear, concrete data and documentation necessary to resolve all the issues set for hearing by the FERC, the CPUC respectfully recommends the following:</w:t>
      </w:r>
    </w:p>
    <w:p>
      <w:pPr>
        <w:pStyle w:val="BodyText"/>
        <w:tabs>
          <w:tab w:val="clear" w:pos="720"/>
          <w:tab w:val="left" w:pos="8730" w:leader="none"/>
        </w:tabs>
        <w:ind w:end="-90"/>
        <w:rPr/>
      </w:pPr>
      <w:r>
        <w:rPr/>
        <w:t xml:space="preserve">1. Transwestern should be prohibited from using negotiated transportation rates other than negotiated </w:t>
      </w:r>
      <w:r>
        <w:rPr>
          <w:u w:val="single"/>
        </w:rPr>
        <w:t>fixed</w:t>
      </w:r>
      <w:r>
        <w:rPr/>
        <w:t xml:space="preserve"> rates that lower than its tariffed maximum recourse rate. This limitation on the negotiated rate authority is not necessarily punitive; rather it restores meaning to and permits the proper functioning of a FERC-approved maximum transportation rate;</w:t>
      </w:r>
    </w:p>
    <w:p>
      <w:pPr>
        <w:pStyle w:val="BodyText"/>
        <w:tabs>
          <w:tab w:val="clear" w:pos="720"/>
          <w:tab w:val="left" w:pos="8730" w:leader="none"/>
        </w:tabs>
        <w:ind w:end="-90"/>
        <w:rPr/>
      </w:pPr>
      <w:r>
        <w:rPr/>
        <w:t xml:space="preserve">2. The CPUC also recommends that Transwestern’s tariff be modified to specify more clearly the process for notifying all shippers at the same time of all available capacity, the specific paths available, and the transportation rates and type of service related to those rates that Transwestern would consider;  </w:t>
      </w:r>
    </w:p>
    <w:p>
      <w:pPr>
        <w:pStyle w:val="BodyText"/>
        <w:tabs>
          <w:tab w:val="clear" w:pos="720"/>
          <w:tab w:val="left" w:pos="8730" w:leader="none"/>
        </w:tabs>
        <w:ind w:end="-90"/>
        <w:rPr/>
      </w:pPr>
      <w:r>
        <w:rPr/>
        <w:t>3.  Transwestern should also be required to maintain records that memorialize the postings and the process by which capacity is awarded; memorialized in verifiable form;</w:t>
      </w:r>
    </w:p>
    <w:p>
      <w:pPr>
        <w:pStyle w:val="BodyText"/>
        <w:tabs>
          <w:tab w:val="clear" w:pos="720"/>
          <w:tab w:val="left" w:pos="8730" w:leader="none"/>
        </w:tabs>
        <w:ind w:end="-90"/>
        <w:rPr/>
      </w:pPr>
      <w:r>
        <w:rPr/>
        <w:t>4.  Transwestern has not produced concrete evidence that shows “how it had the firm capacity available to move gas under the transaction in these proceeding” (</w:t>
      </w:r>
      <w:r>
        <w:rPr>
          <w:u w:val="single"/>
        </w:rPr>
        <w:t>Transwestern Pipeline Company</w:t>
      </w:r>
      <w:r>
        <w:rPr/>
        <w:t>., “Order To Show Cause,” 94 FERC ¶ 71,337 (March 28, 2001).)  Nor has it produced concrete evidence to respond to the FERC’s question as to “why the awarded capacity appears to be available without interruption while firm transportation service under Transwestern’s recourse rate was not.”  (</w:t>
      </w:r>
      <w:r>
        <w:rPr>
          <w:u w:val="single"/>
        </w:rPr>
        <w:t>Transwestern Pipeline Company</w:t>
      </w:r>
      <w:r>
        <w:rPr/>
        <w:t>., “Order On Negotiated Rate Filings Establishing Hearing Procedures,” 96 FERC ¶ 61,138 (July 26, 2001).)  These related issues, therefore, should be further pursued by reopening the proceeding for a “paper” hearing to verify the nominated and scheduled gas flows for February and March to California delivery points.</w:t>
      </w:r>
    </w:p>
    <w:p>
      <w:pPr>
        <w:pStyle w:val="BodyText"/>
        <w:rPr/>
      </w:pPr>
      <w:r>
        <w:rPr/>
        <w:t xml:space="preserve">Further, the recommended changes to Transwestern’s tariff do not require an express finding in this proceeding of violations of the current tariff.  In </w:t>
      </w:r>
      <w:r>
        <w:rPr>
          <w:u w:val="single"/>
        </w:rPr>
        <w:t>Southern California Edison Company v. Federal Energy Regulatory Commission et al</w:t>
      </w:r>
      <w:r>
        <w:rPr/>
        <w:t>., 172 F.3d 74 (D.C. Cir. 1999), the Court of Appeals held that FERC’s duties are not limited to a determination that a regulation was not violated, or that a rate charged was not in compliance with a tariff. The court explained that the FERC had jurisdiction over and the duty to correct unjust and unreasonable practices as well:</w:t>
      </w:r>
    </w:p>
    <w:p>
      <w:pPr>
        <w:pStyle w:val="quotation"/>
        <w:ind w:hanging="0" w:end="1620"/>
        <w:rPr/>
      </w:pPr>
      <w:r>
        <w:rPr/>
        <w:t>“</w:t>
      </w:r>
      <w:r>
        <w:rPr/>
        <w:t xml:space="preserve">Section 5 of the Natural Gas Act gives FERC jurisdiction not only over "unjust" and "unreasonable" "rates" but also over unjust and unreasonable "practices", as well as "unduly discriminatory" or "preferential" rates or practices.  15 U.S.C. ¶ 717d(a). That the rate charged in a particular instance is just and reasonable still leaves in place these other possible grounds for Commission action.” (172 F.3d, at 75.) </w:t>
      </w:r>
    </w:p>
    <w:p>
      <w:pPr>
        <w:pStyle w:val="quotation"/>
        <w:ind w:hanging="0" w:end="1620"/>
        <w:rPr/>
      </w:pPr>
      <w:r>
        <w:rPr/>
      </w:r>
    </w:p>
    <w:p>
      <w:pPr>
        <w:pStyle w:val="BodyText"/>
        <w:ind w:start="120" w:end="0"/>
        <w:rPr/>
      </w:pPr>
      <w:r>
        <w:rPr/>
        <w:t>The Transwestern contracts in question epitomize an unjust and unreasonable practice borne of Transwestern’s inherent market power and its ability to manipulate the capacity on its line and arrange for individual contracts with shippers in order to sell capacity at exorbitant rates that would be ultimately be passed on through the shippers to California consumers.</w:t>
      </w:r>
    </w:p>
    <w:p>
      <w:pPr>
        <w:pStyle w:val="Heading1"/>
        <w:numPr>
          <w:ilvl w:val="0"/>
          <w:numId w:val="2"/>
        </w:numPr>
        <w:rPr/>
      </w:pPr>
      <w:bookmarkStart w:id="1" w:name="__RefHeading___Toc524418586"/>
      <w:bookmarkEnd w:id="1"/>
      <w:r>
        <w:rPr/>
        <w:t>BACKGROUND</w:t>
      </w:r>
    </w:p>
    <w:p>
      <w:pPr>
        <w:pStyle w:val="BodyText"/>
        <w:rPr/>
      </w:pPr>
      <w:r>
        <w:rPr/>
        <w:t xml:space="preserve">This proceeding was established by the FERC pursuant to the “Order On Negotiated Rate Filings Establishing Hearing Procedures” issued in the above-captioned dockets on July 26, 2001 (“July 26 Order”). </w:t>
      </w:r>
      <w:r>
        <w:rPr>
          <w:rStyle w:val="FootnoteCharacters"/>
          <w:rStyle w:val="FootnoteReference"/>
        </w:rPr>
        <w:footnoteReference w:id="3"/>
      </w:r>
      <w:r>
        <w:rPr/>
        <w:t xml:space="preserve">  The focus of the proceeding has been on four Transwestern contracts: the February 2001 and March 2001 contracts with Richardson and the February 2001 and March 2001 contracts with Sempra Trading.  </w:t>
      </w:r>
    </w:p>
    <w:p>
      <w:pPr>
        <w:pStyle w:val="BodyText"/>
        <w:rPr/>
      </w:pPr>
      <w:r>
        <w:rPr/>
        <w:t xml:space="preserve">The July 26 Order followed a FERC order to show cause issued March 28, 2001  (the “March 28, 20001 Order”) in which Transwestern was directed to explain: 1) how it had the firm capacity available to move gas under the transactions in these proceedings, and 2) why its actions in entering into the subject negotiated rate service agreements did not violate the Commission’s regulations and policy regarding firm transportation service and negotiated rate agreements. (94 FERC ¶ 61,337 (2001).) </w:t>
      </w:r>
    </w:p>
    <w:p>
      <w:pPr>
        <w:pStyle w:val="BodyText"/>
        <w:ind w:end="-90"/>
        <w:rPr/>
      </w:pPr>
      <w:r>
        <w:rPr/>
        <w:t xml:space="preserve">Apparently because of the insufficiency of the information and the explanation provided by Transwestern, the matter was set for hearing to consider four issues: 1) “whether the transportation capacity was advertised and awarded in an accurate and fair manner consistent with Transwestern’s tariff”; 2) “whether the transportation rates negotiated by Transwestern with the shippers were the product of an exercise of market power (i.e., did Transwestern withhold capacity that otherwise could have been made available under recourse service in order to make the capacity available under negotiated rate charges at substantially higher rates)”; 3) why the shippers agreed to these rates when significantly lower recourse rates should have been available under the negotiated rate program”; and 4) “why the awarded capacity appears to be available without interruption while firm transportation service under Transwestern’s recourse rate was not.”  (July 26 Order, 96 FERC ¶ 61,138, slip.op., at 6-7.)    </w:t>
      </w:r>
    </w:p>
    <w:p>
      <w:pPr>
        <w:pStyle w:val="BodyText"/>
        <w:rPr/>
      </w:pPr>
      <w:r>
        <w:rPr/>
        <w:t xml:space="preserve">The four contracts are of particular interest because of their extraordinary terms.  The July 26 Order noted that Transwestern used these contracts in connection with aberrant, high gas prices at the California border that prevailed from approximately December 2000 forward.  </w:t>
      </w:r>
    </w:p>
    <w:p>
      <w:pPr>
        <w:pStyle w:val="quotation"/>
        <w:ind w:hanging="0" w:end="1800"/>
        <w:rPr/>
      </w:pPr>
      <w:r>
        <w:rPr/>
        <w:t>“</w:t>
      </w:r>
      <w:r>
        <w:rPr/>
        <w:t xml:space="preserve">Transwestern’s negotiated rate transactions under investigation in these consolidated proceedings present several serious concerns to the Commission, particularly in light of the sustained high natural gas commodity prices that the California energy market has experienced, relative to the rest of the country since December 2000.” (“July 26 Order”, 96 FERC ¶ 61,138, slip.op. at 6.)    </w:t>
      </w:r>
    </w:p>
    <w:p>
      <w:pPr>
        <w:pStyle w:val="BodyText"/>
        <w:rPr/>
      </w:pPr>
      <w:r>
        <w:rPr/>
      </w:r>
    </w:p>
    <w:p>
      <w:pPr>
        <w:pStyle w:val="BodyText"/>
        <w:rPr/>
      </w:pPr>
      <w:r>
        <w:rPr/>
        <w:t xml:space="preserve">The concerns regarding Transwestern’s negotiated rate contracts at issue are serious because the methods used appear generally to have avoided a shipper’s access to operational capacity at the tariffed maximum recourse rate.  At the same time, the methods took advantage of and contributed to the prevailing dysfunctional market conditions and the financial burden on California consumers. </w:t>
      </w:r>
    </w:p>
    <w:p>
      <w:pPr>
        <w:pStyle w:val="Heading1"/>
        <w:numPr>
          <w:ilvl w:val="0"/>
          <w:numId w:val="2"/>
        </w:numPr>
        <w:rPr/>
      </w:pPr>
      <w:bookmarkStart w:id="2" w:name="__RefHeading___Toc524418587"/>
      <w:bookmarkEnd w:id="2"/>
      <w:r>
        <w:rPr/>
        <w:t>DISCUSSION OF ISSUES</w:t>
      </w:r>
    </w:p>
    <w:p>
      <w:pPr>
        <w:pStyle w:val="Heading2"/>
        <w:numPr>
          <w:ilvl w:val="1"/>
          <w:numId w:val="2"/>
        </w:numPr>
        <w:rPr/>
      </w:pPr>
      <w:bookmarkStart w:id="3" w:name="__RefHeading___Toc524418588"/>
      <w:bookmarkEnd w:id="3"/>
      <w:r>
        <w:rPr/>
        <w:t>Was The Transportation Capacity At Issue Advertised and Awarded In An Accurate and Fair Manner Consistent With Transwestern’s Tariff?</w:t>
      </w:r>
    </w:p>
    <w:p>
      <w:pPr>
        <w:pStyle w:val="Normal"/>
        <w:rPr/>
      </w:pPr>
      <w:r>
        <w:rPr/>
      </w:r>
    </w:p>
    <w:p>
      <w:pPr>
        <w:pStyle w:val="BodyText"/>
        <w:ind w:start="120" w:end="0"/>
        <w:rPr/>
      </w:pPr>
      <w:r>
        <w:rPr/>
        <w:t xml:space="preserve">The record of the proceeding reveals considerable confusion, revisions, and above all, vagueness in the data and testimony offered by Transwestern with regard to the posting and award of the “operational capacity” available on the pipeline during the early months of 2001.  Although it would seem Transwestern had a reasonable opportunity to volunteer clearly presented, specific documentation of the exact postings and of all the contacts made with all shippers for the operational capacity made available in February and March 2001, Transwestern instead provided information piecemeal, the relatively useful information provided only in response to data requests and cross-examination.  Transwestern unfortunately appears not to have fully accepted its burden of affirmatively providing the information required by the FERC in this proceeding.  </w:t>
      </w:r>
    </w:p>
    <w:p>
      <w:pPr>
        <w:pStyle w:val="BodyText"/>
        <w:ind w:start="120" w:end="0"/>
        <w:rPr/>
      </w:pPr>
      <w:r>
        <w:rPr/>
        <w:t xml:space="preserve">For example, the prepared testimony of Mary Kay Miller of Transwestern gives only a general description of what Ms. Miller describes as typical Transwestern posting and award procedures, and then states simply that this procedure was applied to the “capacity at issue.” (Ex. TW-1, at 10.)  In her rebuttal testimony, Ms. Miller did little more than repeat part of the prepared testimony and again offered the expected denial that any tariff violation was involved in Transwestern’s contracting with Richardson and Sempra Trading. (Ex. TW-16, at 3-4.) </w:t>
      </w:r>
    </w:p>
    <w:p>
      <w:pPr>
        <w:pStyle w:val="BodyText"/>
        <w:tabs>
          <w:tab w:val="clear" w:pos="720"/>
          <w:tab w:val="left" w:pos="8730" w:leader="none"/>
        </w:tabs>
        <w:ind w:end="-90"/>
        <w:rPr/>
      </w:pPr>
      <w:r>
        <w:rPr/>
        <w:t xml:space="preserve">Missing from Ms. Miller’s testimony is any documentary evidence of: 1) the total volumes of available capacity that was posted for February and March 2001, 2) the specific types of service attached to the available capacity, 3) the dates all of the available unsubscribed capacity was posted, 3) the receipt and delivery paths available, 4) the contract terms available for the posted capacity, 5) the names of all the shippers, other than Richardson and Sempra Trading, with whom Transwestern discussed a gross margin or net margin or indices spread type of contract for the volumes posted, 6) the dates of these discussions, and 7) the names of all the shippers awarded available  capacity for February and March 2001, and the contract terms of each, e.g. interruptible or firm, type of firm, length of contract, rollover rights, rate formula or recourse rate.  </w:t>
      </w:r>
      <w:r>
        <w:rPr>
          <w:rStyle w:val="FootnoteCharacters"/>
          <w:rStyle w:val="FootnoteReference"/>
        </w:rPr>
        <w:footnoteReference w:id="4"/>
      </w:r>
      <w:r>
        <w:rPr/>
        <w:t xml:space="preserve">  </w:t>
      </w:r>
    </w:p>
    <w:p>
      <w:pPr>
        <w:pStyle w:val="BodyText"/>
        <w:tabs>
          <w:tab w:val="clear" w:pos="720"/>
          <w:tab w:val="left" w:pos="8730" w:leader="none"/>
        </w:tabs>
        <w:ind w:hanging="0" w:end="-90"/>
        <w:rPr/>
      </w:pPr>
      <w:r>
        <w:rPr/>
        <w:t>Similarly, the prepared and rebuttal testimony of Transwestern’s witness Steven M. Harris consisted of conclusory statements and opinions that were not supported by any documentary evidence. The FERC, therefore, does not have facts upon which to evaluate Mr. Harris’s necessarily self-serving claims regarding Transwestern’s capacity posting and award procedures. (TR:128/12-25; 129/1-3.)</w:t>
      </w:r>
    </w:p>
    <w:p>
      <w:pPr>
        <w:pStyle w:val="BodyText"/>
        <w:tabs>
          <w:tab w:val="clear" w:pos="720"/>
          <w:tab w:val="left" w:pos="8730" w:leader="none"/>
        </w:tabs>
        <w:ind w:hanging="0" w:end="-90"/>
        <w:rPr/>
      </w:pPr>
      <w:r>
        <w:rPr/>
        <w:t xml:space="preserve">     </w:t>
      </w:r>
      <w:r>
        <w:rPr/>
        <w:t xml:space="preserve">Transwestern’s explanations regarding the operational capacity available to shippers during February and March 2001 were also difficult to follow.  It was not until the submission of the rebuttal testimony of Therese K. Lohman just prior to the hearing that Transwestern stated that operational capacity in addition to that sold to Sempra Trading and Richardson was made available in some manner to shippers from January through March of 2001.  Ms. Lohman stated that Transwestern had sold 20,000 dth/day of “firm operational capacity” at the tariffed recourse rate to a shipper named Tenaska for delivery to the California border. </w:t>
      </w:r>
    </w:p>
    <w:p>
      <w:pPr>
        <w:pStyle w:val="BodyText"/>
        <w:tabs>
          <w:tab w:val="clear" w:pos="720"/>
          <w:tab w:val="left" w:pos="8730" w:leader="none"/>
        </w:tabs>
        <w:ind w:hanging="0" w:end="-90"/>
        <w:rPr/>
      </w:pPr>
      <w:r>
        <w:rPr/>
        <w:t xml:space="preserve">(Ex. TW-22, at 7/4-7.)  </w:t>
      </w:r>
    </w:p>
    <w:p>
      <w:pPr>
        <w:pStyle w:val="BodyText"/>
        <w:tabs>
          <w:tab w:val="left" w:pos="720" w:leader="none"/>
          <w:tab w:val="left" w:pos="8730" w:leader="none"/>
        </w:tabs>
        <w:ind w:hanging="0" w:end="-90"/>
        <w:rPr/>
      </w:pPr>
      <w:r>
        <w:rPr/>
        <w:tab/>
        <w:t>Ms. Lohman went on to explain that she learned another 10,000 dth/day of operational capacity to the Needles delivery point might be available for February and that she contacted Mr. Walker of Richardson, prior to the posting of the capacity on January 31, 2001, to determine his interest in that capacity on a “day-to-day transaction.”    At some point, however, the available path for the Richardson volumes changed so that delivery was made to the Mojave pipeline delivery points at Topock rather than the SoCalGas delivery point at Needles.</w:t>
      </w:r>
    </w:p>
    <w:p>
      <w:pPr>
        <w:pStyle w:val="BodyText"/>
        <w:tabs>
          <w:tab w:val="left" w:pos="720" w:leader="none"/>
          <w:tab w:val="left" w:pos="8730" w:leader="none"/>
        </w:tabs>
        <w:ind w:hanging="0" w:end="-90"/>
        <w:rPr/>
      </w:pPr>
      <w:r>
        <w:rPr/>
        <w:t>(Ex. TW-22, at 11/2-15, 13/20-23, 14/1-6.)  Ms. Lohman also indicated that at some point in time, the capacity under both the Sempra Trading and Richardson contracts were also delivered in March to the PG&amp;E and Mojave pipeline delivery points at Topock, and not to SoCalGas Needles delivery point. (TR. 163/1-11.)</w:t>
      </w:r>
    </w:p>
    <w:p>
      <w:pPr>
        <w:pStyle w:val="BodyText"/>
        <w:tabs>
          <w:tab w:val="clear" w:pos="720"/>
          <w:tab w:val="left" w:pos="8730" w:leader="none"/>
        </w:tabs>
        <w:ind w:end="-90"/>
        <w:rPr/>
      </w:pPr>
      <w:r>
        <w:rPr/>
        <w:t>Upon review of the record, with all the generalities and revisions of Transwestern’s testimonies, we find that neither Ms. Lohman nor any other witness offered by Transwestern, adequately explained how and when the 20,000dth/day of “operational capacity” for the January – March Tenaska contract, the additional 25,000 dth/day of “operational capacity” sold to Sempra Trading and Richardson in February, and the 20,000 dth/day sold to Sempra Trading and Richardson in March became available .  Nor is there any evidence that these volumes and the delivery paths were clearly posted for all other shippers and that all shippers were aware of the procedures and methods by which bids would be evaluated.</w:t>
      </w:r>
    </w:p>
    <w:p>
      <w:pPr>
        <w:pStyle w:val="BodyText"/>
        <w:ind w:end="450"/>
        <w:rPr/>
      </w:pPr>
      <w:r>
        <w:rPr/>
        <w:t xml:space="preserve">In addition, Ms. Lohman’s sworn testimony during cross-examination emphasized that she had spoken with Ms. Katz, the representative of Sempra Trading sometime before or in December 2000, and again in February 2001. Ms. Lohman made a point of disputing an inquiry regarding Ms Lohman’s ongoing discussions with Ms. Katz from December and into February 2001.  Ms. Lohman objected to the reference to a conversation with Ms. Katz in January and insisted she had only “two exclusive conversations” with Ms. Katz, one regarding capacity in December 2000 and then a second conversation in February 2001 (TR. 168-169.) </w:t>
      </w:r>
      <w:r>
        <w:rPr>
          <w:rStyle w:val="FootnoteCharacters"/>
          <w:rStyle w:val="FootnoteReference"/>
        </w:rPr>
        <w:footnoteReference w:id="5"/>
      </w:r>
    </w:p>
    <w:p>
      <w:pPr>
        <w:pStyle w:val="BodyText"/>
        <w:rPr/>
      </w:pPr>
      <w:r>
        <w:rPr/>
        <w:t xml:space="preserve">Ms. Lohman’s testimony at the hearing on this subject, however, contradicts her prepared rebuttal testimony in which she stated that an additional 15,000 dth/day to the “Needles SoCalGas delivery point” was posted January 26th, and was awarded to Sempra Trading after conversations with Ms. Stefanie Katz. (Ex. TW-22, at 7/7-16.)   Ms. Lohman expressly affirmed that she spoke with Ms. Katz on January 26th, 2001, as well as in November of 2000 and February 2001, regarding the availability of firm operational capacity. (Ex. TW-22, 7/18-22, 8/23, 9/1-13,14/22-23, 15/1-3.) </w:t>
      </w:r>
    </w:p>
    <w:p>
      <w:pPr>
        <w:pStyle w:val="BodyText"/>
        <w:rPr/>
      </w:pPr>
      <w:r>
        <w:rPr/>
        <w:t xml:space="preserve">The confusion created by the contradictory testimony, however, succeeded in obstructing the cross-examination of Ms. Lohman on her January 26 conversation with Ms. Katz.  The history of how the operational capacity was noticed and awarded for February and March was thus obfuscated rather than clarified by Transwestern.  As a result, the FERC did not receive the information needed from Transwestern regarding the precise postings of available capacity, delivery paths, and most importantly, the service conditions and rates offered to all shippers for the posted capacity. </w:t>
      </w:r>
    </w:p>
    <w:p>
      <w:pPr>
        <w:pStyle w:val="Heading2"/>
        <w:numPr>
          <w:ilvl w:val="1"/>
          <w:numId w:val="2"/>
        </w:numPr>
        <w:rPr/>
      </w:pPr>
      <w:bookmarkStart w:id="4" w:name="__RefHeading___Toc524418589"/>
      <w:bookmarkEnd w:id="4"/>
      <w:r>
        <w:rPr/>
        <w:t>Were The Transportation Rates Negotiated By Transwestern With the Shippers the Product Of An Exercise Of Market Power?</w:t>
      </w:r>
    </w:p>
    <w:p>
      <w:pPr>
        <w:pStyle w:val="Normal"/>
        <w:rPr/>
      </w:pPr>
      <w:r>
        <w:rPr/>
      </w:r>
    </w:p>
    <w:p>
      <w:pPr>
        <w:pStyle w:val="BodyText"/>
        <w:rPr>
          <w:sz w:val="28"/>
          <w:szCs w:val="16"/>
        </w:rPr>
      </w:pPr>
      <w:r>
        <w:rPr/>
        <w:t>Pipelines under FERC’s jurisdiction are "presumed to have market power," and are permitted to charge up to the tariffed maximum rate without further scrutiny.  (</w:t>
      </w:r>
      <w:r>
        <w:rPr>
          <w:u w:val="single"/>
        </w:rPr>
        <w:t>Southern California Edison Co. v. Southern California Gas Co</w:t>
      </w:r>
      <w:r>
        <w:rPr/>
        <w:t xml:space="preserve">., 80 FERC </w:t>
      </w:r>
      <w:r>
        <w:rPr>
          <w:szCs w:val="16"/>
        </w:rPr>
        <w:t xml:space="preserve">§61,390, 62,302 (1997).) </w:t>
      </w:r>
      <w:r>
        <w:rPr>
          <w:rStyle w:val="FootnoteCharacters"/>
          <w:rStyle w:val="FootnoteReference"/>
          <w:szCs w:val="16"/>
        </w:rPr>
        <w:footnoteReference w:id="6"/>
      </w:r>
      <w:r>
        <w:rPr>
          <w:szCs w:val="16"/>
        </w:rPr>
        <w:t xml:space="preserve">   In the present case, Transwestern used a handcrafted formula reflecting current market conditions to charge shippers rates far higher than the tariffed maximum recourse rate.  As a result, the revenues obtained by Transwestern from the Sempra Trading and Richardson February and March contracts alone were millions of dollars above what its revenues would have been under the maximum recourse rate. (See, Exs. Confid. PUC-4, Confid. PUC-5, and PUC- 6.)</w:t>
      </w:r>
    </w:p>
    <w:p>
      <w:pPr>
        <w:pStyle w:val="BodyText"/>
        <w:ind w:end="-90"/>
        <w:rPr/>
      </w:pPr>
      <w:r>
        <w:rPr/>
        <w:t xml:space="preserve">Because of the complex formulas and revisions wrought by Transwestern for the Richardson and Sempra Trading contracts, it is not possible to conclude that Transwestern’s posting and award procedures are transparent and equitable for all </w:t>
      </w:r>
    </w:p>
    <w:p>
      <w:pPr>
        <w:pStyle w:val="BodyText"/>
        <w:ind w:end="-90"/>
        <w:rPr/>
      </w:pPr>
      <w:r>
        <w:rPr/>
      </w:r>
    </w:p>
    <w:p>
      <w:pPr>
        <w:pStyle w:val="BodyText"/>
        <w:ind w:firstLine="90" w:end="-90"/>
        <w:rPr/>
      </w:pPr>
      <w:r>
        <w:rPr/>
        <w:t>shippers.  Transwestern made ongoing revisions to the contracts.</w:t>
      </w:r>
      <w:r>
        <w:rPr>
          <w:rStyle w:val="FootnoteCharacters"/>
          <w:rStyle w:val="FootnoteReference"/>
        </w:rPr>
        <w:footnoteReference w:id="7"/>
      </w:r>
      <w:r>
        <w:rPr/>
        <w:t xml:space="preserve">  The terms of both the Sempra Trading and Richardson contracts were in fact revised during the course of February so that the use of the border and basin indices spread was replaced by a “gross margin” calculation for the remainder of February and for March for both shippers.   Further, Mr. Harris did not explain in his prepared or direct testimony how the rate paid to Transwestern in the “gross margin” contracts was actually calculated.  Nor did Transwestern’s data responses indicate the actual sales price received by the shipper and the actual commodity price paid by the shipper, the factors that supposedly were to be used to determine the “gross margin.”  (Exs. Conf. PUC-4, Conf. PUC-5.) Instead, published indices were used for the so-called sales and purchase prices of Sempra Trading and Richardson.</w:t>
      </w:r>
    </w:p>
    <w:p>
      <w:pPr>
        <w:pStyle w:val="BodyText"/>
        <w:ind w:end="360"/>
        <w:rPr/>
      </w:pPr>
      <w:r>
        <w:rPr/>
        <w:t xml:space="preserve">During cross-examination, however, Mr. Harris briefly noted, in passing, that the contract payments were based on the shipper’s “net margin.” (Exs. TW- 4, 5, 7, 8; TR:117/19-25, 118/1-6. )  The “net margin” calculation is actually much more complicated than what had been assumed during the proceeding when parties believed the contract rates were based on the </w:t>
      </w:r>
    </w:p>
    <w:p>
      <w:pPr>
        <w:pStyle w:val="BodyText"/>
        <w:ind w:hanging="0" w:end="360"/>
        <w:rPr/>
      </w:pPr>
      <w:r>
        <w:rPr/>
        <w:t>differential between border and basin price indices or the actual “gross margin” of the shipper.</w:t>
      </w:r>
    </w:p>
    <w:p>
      <w:pPr>
        <w:pStyle w:val="BodyText"/>
        <w:ind w:hanging="0" w:end="360"/>
        <w:rPr/>
      </w:pPr>
      <w:r>
        <w:rPr/>
      </w:r>
    </w:p>
    <w:p>
      <w:pPr>
        <w:pStyle w:val="BodyText"/>
        <w:rPr/>
      </w:pPr>
      <w:r>
        <w:rPr/>
        <w:t xml:space="preserve">Transwestern also did not reveal until cross-examination that the specially designed contracts with Richardson and Sempra Trading for firm transportation were </w:t>
      </w:r>
      <w:r>
        <w:rPr>
          <w:u w:val="single"/>
        </w:rPr>
        <w:t>not</w:t>
      </w:r>
      <w:r>
        <w:rPr/>
        <w:t xml:space="preserve"> equal to other firm transportation contracts.  Ms. Miller’s prepared testimony had included unconditional statements that all firm shippers are treated the same: </w:t>
      </w:r>
    </w:p>
    <w:p>
      <w:pPr>
        <w:pStyle w:val="quotation"/>
        <w:ind w:hanging="0" w:end="1440"/>
        <w:rPr/>
      </w:pPr>
      <w:r>
        <w:rPr/>
        <w:t>“</w:t>
      </w:r>
      <w:r>
        <w:rPr/>
        <w:t xml:space="preserve">There is no separate categories of firm capacity, i.e., there is no such thing as a ‘recourse rate firm capacity’ or ‘negotiated rate firm capacity’ or ‘discounted rate firm capacity.’” (TW-1, 15/20-22.) </w:t>
      </w:r>
    </w:p>
    <w:p>
      <w:pPr>
        <w:pStyle w:val="quotation"/>
        <w:ind w:hanging="0" w:end="1800"/>
        <w:rPr/>
      </w:pPr>
      <w:r>
        <w:rPr/>
      </w:r>
    </w:p>
    <w:p>
      <w:pPr>
        <w:pStyle w:val="BodyText"/>
        <w:rPr/>
      </w:pPr>
      <w:r>
        <w:rPr/>
        <w:t xml:space="preserve">Another Transwestern witness, however, contradicted Ms. Miller’s prepared testimony. Under cross-examination, Mr. Harris testified that in 2001, recourse rate firm contracts did not provide for a day-to-day rollover provision. (TR:137.)  It is this rollover provision and the one-part rate that was particularly beneficial to Sempra Trading and Richardson.  If a shipper had opted for a recourse rate contract, assuming one would have been granted, the “operational capacity” made available on a day-to-day basis would not necessarily have been available for the rest of the month if on any one day the shipper did not nominate gas volumes.  Under the Sempra Trading and Richardson contracts, however, the shipper could decide not to nominate gas flows one day, and still have its full firm rights available for the next day and the remainder of the month.  </w:t>
      </w:r>
    </w:p>
    <w:p>
      <w:pPr>
        <w:pStyle w:val="BodyText"/>
        <w:rPr/>
      </w:pPr>
      <w:r>
        <w:rPr/>
        <w:t xml:space="preserve">Contrary to Ms. Miller’s testimony, therefore, firm transportation contract rights were not all equal on Transwestern’s pipeline in 2001. Transwestern used its market power to withhold provisions favorable to shippers when the shipper would only agree to the maximum recourse rate in 2001. In contrast, Transwestern included favorable shipper provisions in the negotiated rate contracts whereby Transwestern was able to gain far more that the FERC-approved maximum recourse rate. </w:t>
      </w:r>
      <w:r>
        <w:rPr>
          <w:rStyle w:val="FootnoteCharacters"/>
          <w:rStyle w:val="FootnoteReference"/>
        </w:rPr>
        <w:footnoteReference w:id="8"/>
      </w:r>
    </w:p>
    <w:p>
      <w:pPr>
        <w:pStyle w:val="BodyText"/>
        <w:rPr/>
      </w:pPr>
      <w:r>
        <w:rPr/>
        <w:t xml:space="preserve">As complicated and difficult as it may be to follow, therefore, the record is sufficient to conclude that Transwestern used its ability to make special deals, one on one, with select shippers, in order to arrange for contracts by which it could acquire a piece of the inflated gas market pie.  Transwestern used its overbroad discretionary power in a way that did not let all shippers compete on an equal basis with equal knowledge for available capacity. </w:t>
      </w:r>
    </w:p>
    <w:p>
      <w:pPr>
        <w:pStyle w:val="Heading2"/>
        <w:numPr>
          <w:ilvl w:val="1"/>
          <w:numId w:val="2"/>
        </w:numPr>
        <w:rPr/>
      </w:pPr>
      <w:bookmarkStart w:id="5" w:name="__RefHeading___Toc524418590"/>
      <w:r>
        <w:rPr/>
        <w:t>Why The Shippers Agreed To These [negotiated] Rates When Significantly Lower Recourse Rates Should Have Been Available Under The Negotiated Rate Program?</w:t>
      </w:r>
      <w:bookmarkEnd w:id="5"/>
      <w:r>
        <w:rPr/>
        <w:t xml:space="preserve"> </w:t>
      </w:r>
    </w:p>
    <w:p>
      <w:pPr>
        <w:pStyle w:val="BodyText"/>
        <w:rPr/>
      </w:pPr>
      <w:r>
        <w:rPr/>
        <w:t>Although Sempra Trading and Richardson paid much more for the capacity under the negotiated rate contracts than they would have with a recourse rate, and would certainly have realized the difference based on February numbers before they agreed to the March contracts, they apparently paid the higher rates because they did not believe Transwestern would award them the capacity to California under the maximum recourse rate.  This rationale is evident in the testimony of Ms. Katz, Sempra Trading’s representative.</w:t>
      </w:r>
    </w:p>
    <w:p>
      <w:pPr>
        <w:pStyle w:val="BodyText"/>
        <w:rPr/>
      </w:pPr>
      <w:r>
        <w:rPr/>
        <w:t xml:space="preserve">First, Ms. Lohman’s characterization of her conversations with Ms. Katz, as described in Ms. Lohman’s rebuttal testimony, differs from Ms. Katz’s recollections.  Ms. Lohman asserts repeatedly that her conversations with Ms. Katz indicated Ms. Katz was aware that the operational capacity being offered for February and March was available at the recourse rate. (Ex/ TW-22, 8/15-23, 9/1-18.) </w:t>
      </w:r>
    </w:p>
    <w:p>
      <w:pPr>
        <w:pStyle w:val="BodyText"/>
        <w:ind w:firstLine="605" w:start="86" w:end="86"/>
        <w:rPr/>
      </w:pPr>
      <w:r>
        <w:rPr/>
        <w:t xml:space="preserve">Ms. Katz’s testimony is not quite the same, however.  Ms. Katz testified on the witness stand: </w:t>
      </w:r>
    </w:p>
    <w:p>
      <w:pPr>
        <w:pStyle w:val="Quotation1"/>
        <w:rPr/>
      </w:pPr>
      <w:r>
        <w:rPr/>
        <w:t>“</w:t>
      </w:r>
      <w:r>
        <w:rPr/>
        <w:t xml:space="preserve">I didn't consider the recourse rate.  I put in a bid that I felt comfortable with, that we felt good about, </w:t>
      </w:r>
      <w:r>
        <w:rPr>
          <w:u w:val="single"/>
        </w:rPr>
        <w:t>that we felt would be the awarding bid</w:t>
      </w:r>
      <w:r>
        <w:rPr/>
        <w:t>.” (TR: 204/14-16. Emphasis added.)</w:t>
      </w:r>
    </w:p>
    <w:p>
      <w:pPr>
        <w:pStyle w:val="Quotation1"/>
        <w:rPr/>
      </w:pPr>
      <w:r>
        <w:rPr/>
      </w:r>
    </w:p>
    <w:p>
      <w:pPr>
        <w:pStyle w:val="BodyText"/>
        <w:rPr/>
      </w:pPr>
      <w:r>
        <w:rPr/>
        <w:t>It was apparently Ms. Katz’s understanding, after eight years of experience in obtaining capacity on Transwestern’s pipeline, that the negotiated contract, which first included indices spreads and then elaborate net margin calculations that provided significantly elevated revenues for Transwestern, would be a winning bid, and that a recourse rate bid would likely not be awarded the capacity.</w:t>
      </w:r>
    </w:p>
    <w:p>
      <w:pPr>
        <w:pStyle w:val="BodyText"/>
        <w:rPr/>
      </w:pPr>
      <w:r>
        <w:rPr/>
        <w:t xml:space="preserve">Ms. Katz also testified that she was not aware of Transwestern’s net present value (“NPV”) method of evaluating a maximum recourse rate that was bid against a negotiated rate.  Transwestern’s witness, Ms. Miller, had testified that when Transwestern receives a bid at the maximum recourse rate and another bid for the same capacity at a negotiated rate, such as that designed by Transwestern in the contracts in question where there was no separate demand charge but instead a one part rate applied when the volumes flow, Transwestern would award the capacity to the maximum recourse rate bid.  This result is based on a net present value (NPV) evaluation by Transwestern. (TR: 100/10-15; see also TR: 81/7-25, 82/1-25, 83/1-3, 99/21-25.)  </w:t>
      </w:r>
    </w:p>
    <w:p>
      <w:pPr>
        <w:pStyle w:val="BodyText"/>
        <w:rPr/>
      </w:pPr>
      <w:r>
        <w:rPr/>
        <w:t xml:space="preserve">When questioned about Transwestern’s NPV method, Ms. Katz did not testify that she knew about it, or was aware of it, when she negotiated the February and March contracts. (TR:202/4-8.)  In addition, it is apparent from the cross-examination of Transwestern witnesses by counsel for BP Energy Company and Amoco Production Company, that these major shippers also had yet to learn and understand Transwestern’s bid evaluation process.    </w:t>
      </w:r>
    </w:p>
    <w:p>
      <w:pPr>
        <w:pStyle w:val="quotation"/>
        <w:ind w:hanging="0" w:end="1800"/>
        <w:rPr/>
      </w:pPr>
      <w:r>
        <w:rPr/>
        <w:t xml:space="preserve">Q  That wasn't my question.  My question was, for determining whether a negotiated rate bid -- you said is going to be determined ahead of time by Transwestern as to   whether it would be evaluated on the basis of Net Present Value or highest rate bid.  My question is, are the guidelines for making that determination in Transwestern's discretion as to whether it will evaluate on the basis of Net Present Value or highest rate bid?  Are those guidelines written down anywhere? </w:t>
      </w:r>
    </w:p>
    <w:p>
      <w:pPr>
        <w:pStyle w:val="BodyText"/>
        <w:ind w:start="1440" w:end="0"/>
        <w:rPr/>
      </w:pPr>
      <w:r>
        <w:rPr/>
        <w:t xml:space="preserve">A  No they're not. “(TR: 81-83, 134-135.) </w:t>
      </w:r>
    </w:p>
    <w:p>
      <w:pPr>
        <w:pStyle w:val="BodyText"/>
        <w:rPr/>
      </w:pPr>
      <w:r>
        <w:rPr/>
        <w:t>Major shippers, therefore, were not informed of Transwestern’s method of evaluating a recourse rate bid against the kind of negotiated rate Transwestern designed for the February and March contracts in question.  Transwestern thereby had a free hand, complete discretion, in determining to whom it would award any available capacity and it made its decisions without the shippers having the benefit of the guidelines that would be applied to their bids.</w:t>
      </w:r>
    </w:p>
    <w:p>
      <w:pPr>
        <w:pStyle w:val="BodyText"/>
        <w:rPr/>
      </w:pPr>
      <w:r>
        <w:rPr/>
        <w:t xml:space="preserve">It is, therefore, fair to conclude that Transwestern had not informed all of its transportation customers of fundamental and critical aspects of its capacity bidding and award process.  Ms. Katz’s approach to obtaining the capacity is, therefore, understandable.  Because the conditions of the market in California presented very little if any risk of a resale of the gas volumes at a loss, and because she apparently did not know of, or could not rely on, an unannounced NPV method by which Transwestern would evaluate a recourse rate bid, she opted for a negotiated rate that obviously would be far more attractive because far more lucrative than the recourse rate for Transwestern. </w:t>
      </w:r>
    </w:p>
    <w:p>
      <w:pPr>
        <w:pStyle w:val="Heading2"/>
        <w:numPr>
          <w:ilvl w:val="1"/>
          <w:numId w:val="2"/>
        </w:numPr>
        <w:rPr/>
      </w:pPr>
      <w:bookmarkStart w:id="6" w:name="__RefHeading___Toc524418591"/>
      <w:bookmarkEnd w:id="6"/>
      <w:r>
        <w:rPr/>
        <w:t>Was The Awarded Capacity Available Without Interruption, While Firm Transportation Service Under Transwestern’s Recourse Rates Was Not: If So, Why?</w:t>
      </w:r>
    </w:p>
    <w:p>
      <w:pPr>
        <w:pStyle w:val="BodyText"/>
        <w:ind w:end="360"/>
        <w:rPr/>
      </w:pPr>
      <w:r>
        <w:rPr/>
        <w:t>The record of the proceeding shows that throughout the months of February and March 2001, there were remarkably only very slight reductions of the “operational capacity” made available to Sempra Trading and Richardson. (Ex. Conf. PUC-3, Conf. PUC-4, Conf. PUC-5.)   Transwestern failed to explain, however,  the source of the “operational capacity” given that its design capacity was fully subscribed during the months in question.</w:t>
      </w:r>
    </w:p>
    <w:p>
      <w:pPr>
        <w:pStyle w:val="BodyText"/>
        <w:ind w:hanging="0" w:end="360"/>
        <w:rPr/>
      </w:pPr>
      <w:r>
        <w:rPr/>
        <w:t xml:space="preserve">(Ex. S-1, at 12.) </w:t>
      </w:r>
    </w:p>
    <w:p>
      <w:pPr>
        <w:pStyle w:val="BodyText"/>
        <w:ind w:firstLine="630" w:end="0"/>
        <w:rPr/>
      </w:pPr>
      <w:r>
        <w:rPr/>
        <w:t xml:space="preserve">Transwestern vaguely referred to “operational capacity” resulting from compressor operations when lower winter ambient temperatures permitted.  However, Transwestern did not volunteer for the FERC in its prepared testimonies the specific data that would demonstrate that the capacity provided to Sempra Trading and Richardson in February and March 2001, for deliveries to the specific California delivery points that ultimately became available, was in fact achieved through compressor operations and lower winter temperatures.   </w:t>
      </w:r>
    </w:p>
    <w:p>
      <w:pPr>
        <w:pStyle w:val="BodyText"/>
        <w:ind w:firstLine="630" w:end="0"/>
        <w:rPr/>
      </w:pPr>
      <w:r>
        <w:rPr/>
        <w:t xml:space="preserve">Transwestern also has not provided the FERC with verifiable data regarding its scheduling of all nominations for all other firm capacity shippers.  Transwestern has not shown, for example, that the nominations of firm capacity shippers such as Pacific Gas and Electric Company (“PG&amp;E”) and Southern California Gas Company (“SoCalGas”) were fully scheduled each day Sempra Trading and Richardson received their gas volumes.  Transwestern has not proven, as well, that its contracts with Sempra Trading and Richardson were not associated with any cuts in the nominations of other firm shippers like PG&amp;E and SoCalGas on the days when Sempra Trading and Richardson received their volumes under the specially designed contracts. </w:t>
      </w:r>
    </w:p>
    <w:p>
      <w:pPr>
        <w:pStyle w:val="BodyText"/>
        <w:ind w:start="120" w:end="0"/>
        <w:rPr/>
      </w:pPr>
      <w:r>
        <w:rPr/>
        <w:t xml:space="preserve">Transwestern has, therefore, not produced concrete evidence that explains “how it had the firm capacity available to move gas under the transaction in these proceeding” (“March 28 Order.”) Nor has it produced the data needed to answer the FERC’s question as to “why the awarded capacity appears to be available without interruption while firm transportation service under Transwestern’s recourse rate was not.”  (July 26 Order.”)  </w:t>
      </w:r>
    </w:p>
    <w:p>
      <w:pPr>
        <w:pStyle w:val="BodyText"/>
        <w:ind w:start="120" w:end="0"/>
        <w:rPr/>
      </w:pPr>
      <w:r>
        <w:rPr/>
        <w:t>As a result, the FERC cannot determine whether or not Transwestern interrupted or cut the firm rights of some shippers to make capacity available under the highly profitable Richardson and Sempra Trading contracts.  This issue, therefore, should be further pursued by reopening the proceeding for a “paper” hearing to verify the nominated and scheduled gas flows for February and March to California delivery points.</w:t>
      </w:r>
    </w:p>
    <w:p>
      <w:pPr>
        <w:pStyle w:val="Heading1"/>
        <w:numPr>
          <w:ilvl w:val="0"/>
          <w:numId w:val="2"/>
        </w:numPr>
        <w:rPr/>
      </w:pPr>
      <w:bookmarkStart w:id="7" w:name="__RefHeading___Toc524418592"/>
      <w:bookmarkEnd w:id="7"/>
      <w:r>
        <w:rPr/>
        <w:t>CONCLUSION</w:t>
      </w:r>
    </w:p>
    <w:p>
      <w:pPr>
        <w:pStyle w:val="BodyText"/>
        <w:ind w:end="360"/>
        <w:rPr/>
      </w:pPr>
      <w:r>
        <w:rPr/>
        <w:t>For the foregoing reasons, the CPUC recommends: 1)  modifying Transwestern’s authority to employ negotiated rates other than negotiated fixed rates below the FERC-approved maximum recourse rate, 2) requiring Transwestern to include procedures that make its posting and award procedures more specific and transparent so that all bidders have full knowledge and access to those procedures, and 3) requiring Transwestern to maintain records that memorialize its posting and award procedures, including individual negotiations with shippers.  Additionally, because of the extreme time constraints of this expedited proceeding, and Transwestern’s apparent reluctance to volunteer complete information on the flow of the gas volumes under the Sempra Trading and Richardson contracts relative to the gas flows obtained by other firm capacity holders (i.e., issue No. 4 of the Joint Statement of Issues), the inquiry on this subject should be extended so that the FERC can determine whether Transwestern used its market power to manipulate capacity in a discriminatory or unjust and unreasonable manner.</w:t>
      </w:r>
    </w:p>
    <w:p>
      <w:pPr>
        <w:pStyle w:val="Normal"/>
        <w:overflowPunct w:val="true"/>
        <w:autoSpaceDE w:val="true"/>
        <w:ind w:start="4320" w:end="0"/>
        <w:textAlignment w:val="auto"/>
        <w:rPr>
          <w:sz w:val="26"/>
        </w:rPr>
      </w:pPr>
      <w:r>
        <w:rPr>
          <w:sz w:val="26"/>
        </w:rPr>
        <w:t>Respectfully submitted,</w:t>
      </w:r>
    </w:p>
    <w:p>
      <w:pPr>
        <w:pStyle w:val="Normal"/>
        <w:ind w:start="4320" w:end="0"/>
        <w:rPr>
          <w:sz w:val="26"/>
        </w:rPr>
      </w:pPr>
      <w:r>
        <w:rPr>
          <w:sz w:val="26"/>
        </w:rPr>
      </w:r>
    </w:p>
    <w:p>
      <w:pPr>
        <w:pStyle w:val="Normal"/>
        <w:numPr>
          <w:ilvl w:val="0"/>
          <w:numId w:val="0"/>
        </w:numPr>
        <w:ind w:start="4320" w:end="0"/>
        <w:outlineLvl w:val="0"/>
        <w:rPr>
          <w:sz w:val="26"/>
        </w:rPr>
      </w:pPr>
      <w:r>
        <w:rPr>
          <w:sz w:val="26"/>
        </w:rPr>
        <w:t>GARY M. COHEN</w:t>
      </w:r>
    </w:p>
    <w:p>
      <w:pPr>
        <w:pStyle w:val="Normal"/>
        <w:numPr>
          <w:ilvl w:val="0"/>
          <w:numId w:val="0"/>
        </w:numPr>
        <w:ind w:start="4320" w:end="0"/>
        <w:outlineLvl w:val="0"/>
        <w:rPr>
          <w:sz w:val="26"/>
        </w:rPr>
      </w:pPr>
      <w:r>
        <w:rPr>
          <w:sz w:val="26"/>
        </w:rPr>
        <w:t>AROCLES AGUILAR</w:t>
      </w:r>
    </w:p>
    <w:p>
      <w:pPr>
        <w:pStyle w:val="Normal"/>
        <w:ind w:start="4320" w:end="0"/>
        <w:rPr>
          <w:sz w:val="26"/>
        </w:rPr>
      </w:pPr>
      <w:r>
        <w:rPr>
          <w:sz w:val="26"/>
        </w:rPr>
        <w:t>IDA PASSAMONTI</w:t>
      </w:r>
    </w:p>
    <w:p>
      <w:pPr>
        <w:pStyle w:val="Normal"/>
        <w:ind w:start="4320" w:end="0"/>
        <w:rPr>
          <w:sz w:val="26"/>
        </w:rPr>
      </w:pPr>
      <w:r>
        <w:rPr>
          <w:sz w:val="26"/>
        </w:rPr>
      </w:r>
    </w:p>
    <w:p>
      <w:pPr>
        <w:pStyle w:val="Normal"/>
        <w:ind w:start="4320" w:end="0"/>
        <w:rPr>
          <w:sz w:val="26"/>
        </w:rPr>
      </w:pPr>
      <w:r>
        <w:rPr>
          <w:sz w:val="26"/>
        </w:rPr>
      </w:r>
    </w:p>
    <w:p>
      <w:pPr>
        <w:pStyle w:val="Normal"/>
        <w:ind w:start="3600" w:end="0"/>
        <w:rPr>
          <w:sz w:val="26"/>
        </w:rPr>
      </w:pPr>
      <w:r>
        <w:rPr>
          <w:sz w:val="26"/>
        </w:rPr>
        <w:t>By:</w:t>
        <w:tab/>
      </w:r>
    </w:p>
    <w:p>
      <w:pPr>
        <w:pStyle w:val="Normal"/>
        <w:ind w:start="4320" w:end="0"/>
        <w:rPr>
          <w:sz w:val="26"/>
        </w:rPr>
      </w:pPr>
      <w:r>
        <w:rPr>
          <w:sz w:val="26"/>
        </w:rPr>
        <w:t>—————————————</w:t>
      </w:r>
    </w:p>
    <w:p>
      <w:pPr>
        <w:pStyle w:val="Normal"/>
        <w:numPr>
          <w:ilvl w:val="0"/>
          <w:numId w:val="0"/>
        </w:numPr>
        <w:ind w:firstLine="720" w:start="4320" w:end="0"/>
        <w:outlineLvl w:val="0"/>
        <w:rPr>
          <w:sz w:val="26"/>
        </w:rPr>
      </w:pPr>
      <w:r>
        <w:rPr>
          <w:sz w:val="26"/>
        </w:rPr>
        <w:t>IDA PASSAMONTI</w:t>
      </w:r>
    </w:p>
    <w:p>
      <w:pPr>
        <w:pStyle w:val="Normal"/>
        <w:ind w:start="4320" w:end="0"/>
        <w:rPr>
          <w:sz w:val="26"/>
        </w:rPr>
      </w:pPr>
      <w:r>
        <w:rPr>
          <w:sz w:val="26"/>
        </w:rPr>
      </w:r>
    </w:p>
    <w:p>
      <w:pPr>
        <w:pStyle w:val="Normal"/>
        <w:ind w:start="4320" w:end="0"/>
        <w:rPr>
          <w:sz w:val="26"/>
        </w:rPr>
      </w:pPr>
      <w:r>
        <w:rPr>
          <w:sz w:val="26"/>
        </w:rPr>
        <w:t>Attorneys for the Public Utilities Commission of the State of California</w:t>
      </w:r>
    </w:p>
    <w:p>
      <w:pPr>
        <w:pStyle w:val="Normal"/>
        <w:ind w:start="4320" w:end="0"/>
        <w:rPr>
          <w:sz w:val="26"/>
        </w:rPr>
      </w:pPr>
      <w:r>
        <w:rPr>
          <w:sz w:val="26"/>
        </w:rPr>
      </w:r>
    </w:p>
    <w:p>
      <w:pPr>
        <w:pStyle w:val="Normal"/>
        <w:numPr>
          <w:ilvl w:val="0"/>
          <w:numId w:val="0"/>
        </w:numPr>
        <w:ind w:start="4320" w:end="0"/>
        <w:outlineLvl w:val="0"/>
        <w:rPr>
          <w:sz w:val="26"/>
        </w:rPr>
      </w:pPr>
      <w:r>
        <w:rPr>
          <w:sz w:val="26"/>
        </w:rPr>
        <w:t>505 Van Ness Avenue, Room 4300</w:t>
      </w:r>
    </w:p>
    <w:p>
      <w:pPr>
        <w:pStyle w:val="Normal"/>
        <w:ind w:start="4320" w:end="0"/>
        <w:rPr>
          <w:sz w:val="26"/>
        </w:rPr>
      </w:pPr>
      <w:r>
        <w:rPr>
          <w:sz w:val="26"/>
        </w:rPr>
        <w:t>San Francisco, CA  94102</w:t>
      </w:r>
    </w:p>
    <w:p>
      <w:pPr>
        <w:pStyle w:val="Normal"/>
        <w:rPr>
          <w:sz w:val="26"/>
        </w:rPr>
      </w:pPr>
      <w:r>
        <w:rPr>
          <w:sz w:val="26"/>
        </w:rPr>
        <w:t>September 6, 2001</w:t>
        <w:tab/>
        <w:tab/>
        <w:tab/>
        <w:tab/>
        <w:t>Phone: (415) 703-1944</w:t>
      </w:r>
    </w:p>
    <w:p>
      <w:pPr>
        <w:pStyle w:val="Normal"/>
        <w:jc w:val="center"/>
        <w:rPr>
          <w:sz w:val="26"/>
        </w:rPr>
      </w:pPr>
      <w:r>
        <w:rPr>
          <w:sz w:val="26"/>
        </w:rPr>
      </w:r>
    </w:p>
    <w:sectPr>
      <w:footerReference w:type="default" r:id="rId6"/>
      <w:footerReference w:type="first" r:id="rId7"/>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112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lineRule="exact" w:line="220" w:before="0" w:after="120"/>
        <w:ind w:hanging="0" w:start="0" w:end="-720"/>
        <w:rPr/>
      </w:pPr>
      <w:r>
        <w:rPr>
          <w:rStyle w:val="FootnoteCharacters"/>
        </w:rPr>
        <w:footnoteRef/>
      </w:r>
      <w:r>
        <w:rPr/>
        <w:t xml:space="preserve">  </w:t>
      </w:r>
      <w:r>
        <w:rPr/>
        <w:t>There is a link between the natural gas and electricity markets because most of the plants generating electricity in California are fueled by natural gas.</w:t>
      </w:r>
    </w:p>
  </w:footnote>
  <w:footnote w:id="3">
    <w:p>
      <w:pPr>
        <w:pStyle w:val="FootnoteText"/>
        <w:widowControl w:val="false"/>
        <w:spacing w:lineRule="exact" w:line="220" w:before="0" w:after="120"/>
        <w:ind w:hanging="0" w:start="0" w:end="-720"/>
        <w:rPr/>
      </w:pPr>
      <w:r>
        <w:rPr>
          <w:rStyle w:val="FootnoteCharacters"/>
        </w:rPr>
        <w:footnoteRef/>
      </w:r>
      <w:r>
        <w:rPr/>
        <w:t xml:space="preserve">  </w:t>
      </w:r>
      <w:r>
        <w:rPr>
          <w:u w:val="single"/>
        </w:rPr>
        <w:t>Transwestern Pipeline Company</w:t>
      </w:r>
      <w:r>
        <w:rPr/>
        <w:t>, 96 FERC ¶ 61,138 (2001).</w:t>
      </w:r>
    </w:p>
  </w:footnote>
  <w:footnote w:id="4">
    <w:p>
      <w:pPr>
        <w:pStyle w:val="FootnoteText"/>
        <w:widowControl w:val="false"/>
        <w:spacing w:lineRule="exact" w:line="220" w:before="0" w:after="120"/>
        <w:ind w:hanging="0" w:start="0" w:end="-720"/>
        <w:rPr/>
      </w:pPr>
      <w:r>
        <w:rPr>
          <w:rStyle w:val="FootnoteCharacters"/>
        </w:rPr>
        <w:footnoteRef/>
      </w:r>
      <w:r>
        <w:rPr/>
        <w:t xml:space="preserve"> </w:t>
      </w:r>
      <w:r>
        <w:rPr/>
        <w:t xml:space="preserve">Similarly, rather than provide concrete evidence of Transwestern’s procedure for posting and awarding available capacity for February and March 2001, another witness for Transwestern, Steven M. Harris merely states in self-serving and conclusory prepared testimony that Transwestern awarded the capacity in accordance with its tariff. (Ex. TW-3, at 14/3- 14.)  It is the FERC, not Transwestern that is to draw conclusions regarding Transwestern’s behavior.  It is Transwestern’s burden to provide FERC with the specific, concrete evidence that would provide the FERC with the information to reach just and reasonable conclusions.   </w:t>
      </w:r>
    </w:p>
  </w:footnote>
  <w:footnote w:id="5">
    <w:p>
      <w:pPr>
        <w:pStyle w:val="FootnoteText"/>
        <w:spacing w:lineRule="auto" w:line="240"/>
        <w:rPr/>
      </w:pPr>
      <w:r>
        <w:rPr>
          <w:rStyle w:val="FootnoteCharacters"/>
        </w:rPr>
        <w:footnoteRef/>
      </w:r>
      <w:r>
        <w:rPr/>
        <w:t xml:space="preserve"> “ </w:t>
      </w:r>
      <w:r>
        <w:rPr/>
        <w:t>Q.    So you had been discussing the recourse rate with Ms. Katz in December and at least up until February of 2001?  Is that correct?</w:t>
      </w:r>
    </w:p>
    <w:p>
      <w:pPr>
        <w:pStyle w:val="FootnoteText"/>
        <w:numPr>
          <w:ilvl w:val="0"/>
          <w:numId w:val="3"/>
        </w:numPr>
        <w:spacing w:lineRule="auto" w:line="240" w:before="0" w:after="0"/>
        <w:rPr/>
      </w:pPr>
      <w:r>
        <w:rPr/>
        <w:t>No, ma'am.  I explained -- two exclusive conversations.”(TR:169/11-15.)</w:t>
      </w:r>
    </w:p>
    <w:p>
      <w:pPr>
        <w:pStyle w:val="FootnoteText"/>
        <w:spacing w:before="0" w:after="0"/>
        <w:ind w:start="360" w:end="-720"/>
        <w:rPr/>
      </w:pPr>
      <w:r>
        <w:rPr/>
      </w:r>
    </w:p>
  </w:footnote>
  <w:footnote w:id="6">
    <w:p>
      <w:pPr>
        <w:pStyle w:val="FootnoteText"/>
        <w:widowControl w:val="false"/>
        <w:spacing w:lineRule="exact" w:line="220" w:before="0" w:after="120"/>
        <w:ind w:hanging="0" w:start="0" w:end="-720"/>
        <w:rPr/>
      </w:pPr>
      <w:r>
        <w:rPr>
          <w:rStyle w:val="FootnoteCharacters"/>
        </w:rPr>
        <w:footnoteRef/>
      </w:r>
      <w:r>
        <w:rPr/>
        <w:t xml:space="preserve"> “</w:t>
      </w:r>
      <w:r>
        <w:rPr/>
        <w:t xml:space="preserve">Indeed, the pipeline itself is presumed to have market power, and it is permitted to sell capacity at rates up to the Commission-established maximum just and reasonable rate without further inquiry into market power.” 80 FERC §61,390, at 62,302. </w:t>
      </w:r>
    </w:p>
  </w:footnote>
  <w:footnote w:id="7">
    <w:p>
      <w:pPr>
        <w:pStyle w:val="FootnoteText"/>
        <w:widowControl w:val="false"/>
        <w:spacing w:lineRule="exact" w:line="220" w:before="0" w:after="120"/>
        <w:ind w:hanging="0" w:start="0" w:end="-720"/>
        <w:rPr/>
      </w:pPr>
      <w:r>
        <w:rPr>
          <w:rStyle w:val="FootnoteCharacters"/>
        </w:rPr>
        <w:footnoteRef/>
      </w:r>
      <w:r>
        <w:rPr/>
        <w:t xml:space="preserve">  </w:t>
      </w:r>
      <w:r>
        <w:rPr/>
        <w:t>For example, Mr. Harris stated: “For the first several days of February, the spread contract was based purely on the indices between the different basins and the California border.  Several days later, that particular contract was changed to accurately reflect what actually it was that Sempra was able to do in the market place as far as buying and selling gas, so the formula was changed.” TR: 117/22.</w:t>
      </w:r>
    </w:p>
  </w:footnote>
  <w:footnote w:id="8">
    <w:p>
      <w:pPr>
        <w:pStyle w:val="FootnoteText"/>
        <w:rPr/>
      </w:pPr>
      <w:r>
        <w:rPr>
          <w:rStyle w:val="FootnoteCharacters"/>
        </w:rPr>
        <w:footnoteRef/>
      </w:r>
      <w:r>
        <w:rPr/>
        <w:t xml:space="preserve">  </w:t>
      </w:r>
      <w:r>
        <w:rPr/>
        <w:t>The FERC itself apparently had some difficulty deciphering the terms and revisions of the negotiated contracts.  The descriptions of the contracts in the Appendix of the July 26 Order are not completely consistent with the information obtained from Transwestern during the course of this proceeding, particularly with regard to the changes in Transwestern rate calculations. (See, Conf. PUC-4 and Conf. PUC-5.)</w:t>
      </w:r>
    </w:p>
    <w:p>
      <w:pPr>
        <w:pStyle w:val="FootnoteText"/>
        <w:widowControl w:val="false"/>
        <w:spacing w:lineRule="exact" w:line="220" w:before="0" w:after="120"/>
        <w:ind w:hanging="0" w:start="0" w:end="-720"/>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288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upp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BodyText"/>
    <w:next w:val="BodyText"/>
    <w:qFormat/>
    <w:pPr>
      <w:keepNext w:val="true"/>
      <w:keepLines/>
      <w:numPr>
        <w:ilvl w:val="0"/>
        <w:numId w:val="2"/>
      </w:numPr>
      <w:spacing w:lineRule="auto" w:line="240" w:before="120" w:after="120"/>
      <w:ind w:firstLine="720" w:start="0" w:end="720"/>
      <w:outlineLvl w:val="0"/>
    </w:pPr>
    <w:rPr>
      <w:b/>
      <w:kern w:val="2"/>
      <w:sz w:val="28"/>
    </w:rPr>
  </w:style>
  <w:style w:type="paragraph" w:styleId="Heading2">
    <w:name w:val="heading 2"/>
    <w:basedOn w:val="BodyText"/>
    <w:next w:val="BodyText"/>
    <w:qFormat/>
    <w:pPr>
      <w:keepNext w:val="true"/>
      <w:numPr>
        <w:ilvl w:val="0"/>
        <w:numId w:val="2"/>
      </w:numPr>
      <w:spacing w:lineRule="auto" w:line="240" w:before="120" w:after="120"/>
      <w:ind w:firstLine="720" w:start="0" w:end="1440"/>
      <w:outlineLvl w:val="1"/>
    </w:pPr>
    <w:rPr>
      <w:b/>
    </w:rPr>
  </w:style>
  <w:style w:type="paragraph" w:styleId="Heading3">
    <w:name w:val="heading 3"/>
    <w:basedOn w:val="BodyText"/>
    <w:next w:val="BodyText"/>
    <w:qFormat/>
    <w:pPr>
      <w:keepNext w:val="true"/>
      <w:numPr>
        <w:ilvl w:val="0"/>
        <w:numId w:val="2"/>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0"/>
        <w:numId w:val="2"/>
      </w:numPr>
      <w:spacing w:lineRule="auto" w:line="240" w:before="120" w:after="120"/>
      <w:ind w:firstLine="720" w:start="0" w:end="1440"/>
      <w:outlineLvl w:val="3"/>
    </w:pPr>
    <w:rPr>
      <w:i/>
    </w:rPr>
  </w:style>
  <w:style w:type="paragraph" w:styleId="Heading5">
    <w:name w:val="heading 5"/>
    <w:basedOn w:val="Normal"/>
    <w:next w:val="Normal"/>
    <w:qFormat/>
    <w:pPr>
      <w:numPr>
        <w:ilvl w:val="0"/>
        <w:numId w:val="2"/>
      </w:numPr>
      <w:spacing w:before="120" w:after="120"/>
      <w:outlineLvl w:val="4"/>
    </w:pPr>
    <w:rPr>
      <w:rFonts w:ascii="Arial" w:hAnsi="Arial" w:cs="Arial"/>
      <w:sz w:val="22"/>
    </w:rPr>
  </w:style>
  <w:style w:type="paragraph" w:styleId="Heading6">
    <w:name w:val="heading 6"/>
    <w:basedOn w:val="Normal"/>
    <w:next w:val="Normal"/>
    <w:qFormat/>
    <w:pPr>
      <w:numPr>
        <w:ilvl w:val="0"/>
        <w:numId w:val="2"/>
      </w:numPr>
      <w:spacing w:before="240" w:after="60"/>
      <w:outlineLvl w:val="5"/>
    </w:pPr>
    <w:rPr>
      <w:rFonts w:ascii="Arial" w:hAnsi="Arial" w:cs="Arial"/>
      <w:i/>
      <w:sz w:val="22"/>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i/>
      <w:sz w:val="18"/>
    </w:rPr>
  </w:style>
  <w:style w:type="character" w:styleId="WW8Num2z0">
    <w:name w:val="WW8Num2z0"/>
    <w:qFormat/>
    <w:rPr>
      <w:rFonts w:ascii="Symbol" w:hAnsi="Symbol" w:cs="Symbol"/>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b/>
      <w:sz w:val="32"/>
      <w:u w:val="single"/>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2"/>
      </w:numPr>
      <w:ind w:hanging="0" w:start="0" w:end="720"/>
      <w:outlineLvl w:val="9"/>
    </w:pPr>
    <w:rPr>
      <w:spacing w:val="-20"/>
      <w:sz w:val="24"/>
    </w:rPr>
  </w:style>
  <w:style w:type="paragraph" w:styleId="BodyText">
    <w:name w:val="Body Text"/>
    <w:pPr>
      <w:widowControl/>
      <w:overflowPunct w:val="false"/>
      <w:autoSpaceDE w:val="false"/>
      <w:bidi w:val="0"/>
      <w:spacing w:lineRule="auto" w:line="480"/>
      <w:ind w:firstLine="720" w:start="0" w:end="0"/>
      <w:textAlignment w:val="baseline"/>
    </w:pPr>
    <w:rPr>
      <w:rFonts w:ascii="Times New Roman" w:hAnsi="Times New Roman" w:eastAsia="Times New Roman" w:cs="Times New Roman"/>
      <w:color w:val="auto"/>
      <w:sz w:val="26"/>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quotation">
    <w:name w:val="quotation"/>
    <w:basedOn w:val="BodyText"/>
    <w:qFormat/>
    <w:pPr>
      <w:spacing w:lineRule="auto" w:line="240" w:before="0" w:after="0"/>
      <w:ind w:firstLine="720" w:start="2160" w:end="1800"/>
    </w:pPr>
    <w:rPr/>
  </w:style>
  <w:style w:type="paragraph" w:styleId="Style11">
    <w:name w:val="Style1"/>
    <w:basedOn w:val="quotation"/>
    <w:qFormat/>
    <w:pPr/>
    <w:rPr/>
  </w:style>
  <w:style w:type="paragraph" w:styleId="FootnoteText">
    <w:name w:val="footnote text"/>
    <w:basedOn w:val="Normal"/>
    <w:pPr>
      <w:widowControl w:val="false"/>
      <w:spacing w:lineRule="exact" w:line="220" w:before="0" w:after="120"/>
      <w:ind w:hanging="0" w:start="0" w:end="-72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8640" w:leader="dot"/>
      </w:tabs>
      <w:suppressAutoHyphens w:val="true"/>
      <w:spacing w:before="120" w:after="120"/>
      <w:ind w:hanging="245" w:start="245" w:end="1440"/>
    </w:pPr>
    <w:rPr>
      <w:b/>
      <w:caps/>
      <w:sz w:val="26"/>
      <w:lang w:val="en-CA" w:eastAsia="en-CA"/>
    </w:rPr>
  </w:style>
  <w:style w:type="paragraph" w:styleId="TOC2">
    <w:name w:val="toc 2"/>
    <w:basedOn w:val="Normal"/>
    <w:next w:val="Normal"/>
    <w:pPr>
      <w:tabs>
        <w:tab w:val="clear" w:pos="720"/>
        <w:tab w:val="right" w:pos="8640" w:leader="dot"/>
      </w:tabs>
      <w:suppressAutoHyphens w:val="true"/>
      <w:spacing w:before="0" w:after="120"/>
      <w:ind w:hanging="288" w:start="720" w:end="1440"/>
    </w:pPr>
    <w:rPr>
      <w:smallCaps/>
      <w:sz w:val="24"/>
      <w:lang w:val="en-CA" w:eastAsia="en-CA"/>
    </w:rPr>
  </w:style>
  <w:style w:type="paragraph" w:styleId="TOC3">
    <w:name w:val="toc 3"/>
    <w:basedOn w:val="Normal"/>
    <w:next w:val="Normal"/>
    <w:pPr>
      <w:tabs>
        <w:tab w:val="clear" w:pos="720"/>
        <w:tab w:val="right" w:pos="8640" w:leader="dot"/>
      </w:tabs>
      <w:spacing w:before="0" w:after="120"/>
      <w:ind w:hanging="245" w:start="1109" w:end="1440"/>
    </w:pPr>
    <w:rPr>
      <w:sz w:val="22"/>
      <w:lang w:val="en-CA" w:eastAsia="en-CA"/>
    </w:rPr>
  </w:style>
  <w:style w:type="paragraph" w:styleId="TOC4">
    <w:name w:val="toc 4"/>
    <w:basedOn w:val="Normal"/>
    <w:next w:val="Normal"/>
    <w:pPr>
      <w:tabs>
        <w:tab w:val="clear" w:pos="720"/>
        <w:tab w:val="right" w:pos="8640" w:leader="dot"/>
      </w:tabs>
      <w:ind w:hanging="0" w:start="480" w:end="0"/>
    </w:pPr>
    <w:rPr/>
  </w:style>
  <w:style w:type="paragraph" w:styleId="TOC5">
    <w:name w:val="toc 5"/>
    <w:basedOn w:val="Normal"/>
    <w:next w:val="Normal"/>
    <w:pPr>
      <w:tabs>
        <w:tab w:val="clear" w:pos="720"/>
        <w:tab w:val="right" w:pos="8640" w:leader="dot"/>
      </w:tabs>
      <w:ind w:hanging="0" w:start="720" w:end="0"/>
    </w:pPr>
    <w:rPr/>
  </w:style>
  <w:style w:type="paragraph" w:styleId="TOC6">
    <w:name w:val="toc 6"/>
    <w:basedOn w:val="Normal"/>
    <w:next w:val="Normal"/>
    <w:pPr>
      <w:tabs>
        <w:tab w:val="clear" w:pos="720"/>
        <w:tab w:val="right" w:pos="8640" w:leader="dot"/>
      </w:tabs>
      <w:ind w:hanging="0" w:start="96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40" w:end="0"/>
    </w:pPr>
    <w:rPr/>
  </w:style>
  <w:style w:type="paragraph" w:styleId="TOC9">
    <w:name w:val="toc 9"/>
    <w:basedOn w:val="Normal"/>
    <w:next w:val="Normal"/>
    <w:pPr>
      <w:tabs>
        <w:tab w:val="clear" w:pos="720"/>
        <w:tab w:val="right" w:pos="8640" w:leader="dot"/>
      </w:tabs>
      <w:ind w:hanging="0" w:start="1680" w:end="0"/>
    </w:pPr>
    <w:rPr>
      <w:sz w:val="18"/>
    </w:rPr>
  </w:style>
  <w:style w:type="paragraph" w:styleId="Header">
    <w:name w:val="header"/>
    <w:basedOn w:val="Normal"/>
    <w:pPr>
      <w:tabs>
        <w:tab w:val="clear" w:pos="720"/>
        <w:tab w:val="center" w:pos="4320" w:leader="none"/>
        <w:tab w:val="right" w:pos="8640" w:leader="none"/>
      </w:tabs>
    </w:pPr>
    <w:rPr/>
  </w:style>
  <w:style w:type="paragraph" w:styleId="Quotation1">
    <w:name w:val="Quotation1"/>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clear" w:pos="720"/>
        <w:tab w:val="right" w:pos="8640" w:leader="dot"/>
      </w:tabs>
      <w:ind w:hanging="245" w:start="245" w:end="1440"/>
    </w:pPr>
    <w:rPr>
      <w:i/>
      <w:lang w:val="en-CA" w:eastAsia="en-CA"/>
    </w:rPr>
  </w:style>
  <w:style w:type="paragraph" w:styleId="ListNumber3">
    <w:name w:val="List Number 3"/>
    <w:basedOn w:val="Normal"/>
    <w:qFormat/>
    <w:pPr>
      <w:numPr>
        <w:ilvl w:val="0"/>
        <w:numId w:val="4"/>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5"/>
      </w:numPr>
      <w:spacing w:before="0" w:after="120"/>
      <w:ind w:hanging="360" w:start="360" w:end="0"/>
    </w:pPr>
    <w:rPr/>
  </w:style>
  <w:style w:type="paragraph" w:styleId="BriefHeading">
    <w:name w:val="Brief Heading"/>
    <w:basedOn w:val="Normal"/>
    <w:qFormat/>
    <w:pPr>
      <w:jc w:val="center"/>
    </w:pPr>
    <w:rPr>
      <w:smallCaps/>
      <w:sz w:val="28"/>
    </w:rPr>
  </w:style>
  <w:style w:type="paragraph" w:styleId="BriefTitle">
    <w:name w:val="Brief Title"/>
    <w:basedOn w:val="Normal"/>
    <w:qFormat/>
    <w:pPr>
      <w:jc w:val="center"/>
    </w:pPr>
    <w:rPr>
      <w:b/>
      <w:sz w:val="28"/>
    </w:rPr>
  </w:style>
  <w:style w:type="paragraph" w:styleId="Salutation">
    <w:name w:val="Salutation"/>
    <w:basedOn w:val="BodyText"/>
    <w:qFormat/>
    <w:pPr>
      <w:spacing w:lineRule="auto" w:line="240"/>
      <w:ind w:hanging="0" w:start="0" w:end="0"/>
    </w:pPr>
    <w:rPr/>
  </w:style>
  <w:style w:type="paragraph" w:styleId="BodyText2">
    <w:name w:val="Body Text 2"/>
    <w:basedOn w:val="Normal"/>
    <w:qFormat/>
    <w:pPr>
      <w:overflowPunct w:val="true"/>
      <w:autoSpaceDE w:val="true"/>
      <w:spacing w:lineRule="auto" w:line="480"/>
      <w:textAlignment w:val="auto"/>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2001-09-06T18:41:00Z</dcterms:created>
  <dc:creator>Preferred Customer</dc:creator>
  <dc:description/>
  <dc:language>en-CA</dc:language>
  <cp:lastModifiedBy>IMP</cp:lastModifiedBy>
  <cp:lastPrinted>2001-09-06T13:56:00Z</cp:lastPrinted>
  <dcterms:modified xsi:type="dcterms:W3CDTF">2001-09-06T18:41:00Z</dcterms:modified>
  <cp:revision>2</cp:revision>
  <dc:subject/>
  <dc:title>UNITED STATES OF AMERICA</dc:title>
</cp:coreProperties>
</file>