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FF0000"/>
        </w:rPr>
      </w:pPr>
      <w:r>
        <w:rPr>
          <w:b/>
        </w:rPr>
        <w:t>Outline for Enron Energy Services Brief on Rate Design</w:t>
      </w:r>
    </w:p>
    <w:p>
      <w:pPr>
        <w:pStyle w:val="Normal"/>
        <w:rPr>
          <w:b/>
          <w:color w:val="FF0000"/>
        </w:rPr>
      </w:pPr>
      <w:r>
        <w:rPr>
          <w:b/>
          <w:color w:val="FF0000"/>
        </w:rPr>
      </w:r>
    </w:p>
    <w:p>
      <w:pPr>
        <w:pStyle w:val="Normal"/>
        <w:rPr>
          <w:b/>
        </w:rPr>
      </w:pPr>
      <w:r>
        <w:rPr>
          <w:b/>
        </w:rPr>
        <w:t>I.</w:t>
        <w:tab/>
        <w:t xml:space="preserve"> Introduction</w:t>
      </w:r>
    </w:p>
    <w:p>
      <w:pPr>
        <w:pStyle w:val="Normal"/>
        <w:rPr>
          <w:b/>
        </w:rPr>
      </w:pPr>
      <w:r>
        <w:rPr>
          <w:b/>
        </w:rPr>
      </w:r>
    </w:p>
    <w:p>
      <w:pPr>
        <w:pStyle w:val="Normal"/>
        <w:ind w:hanging="720" w:start="1440" w:end="0"/>
        <w:rPr/>
      </w:pPr>
      <w:r>
        <w:rPr>
          <w:rFonts w:eastAsia="Symbol" w:cs="Symbol" w:ascii="Symbol" w:hAnsi="Symbol"/>
          <w:b/>
        </w:rPr>
        <w:sym w:font="Symbol" w:char="f0b7"/>
      </w:r>
      <w:r>
        <w:rPr>
          <w:b/>
        </w:rPr>
        <w:tab/>
      </w:r>
      <w:r>
        <w:rPr/>
        <w:t xml:space="preserve">Job of Commission in this proceeding – design rates to collect the three-cent kWh surcharge </w:t>
      </w:r>
      <w:r>
        <w:rPr>
          <w:b/>
        </w:rPr>
        <w:tab/>
      </w:r>
    </w:p>
    <w:p>
      <w:pPr>
        <w:pStyle w:val="Normal"/>
        <w:rPr>
          <w:b/>
        </w:rPr>
      </w:pPr>
      <w:r>
        <w:rPr>
          <w:b/>
        </w:rPr>
      </w:r>
    </w:p>
    <w:p>
      <w:pPr>
        <w:pStyle w:val="Normal"/>
        <w:ind w:start="720" w:end="0"/>
        <w:rPr/>
      </w:pPr>
      <w:r>
        <w:rPr>
          <w:rFonts w:eastAsia="Symbol" w:cs="Symbol" w:ascii="Symbol" w:hAnsi="Symbol"/>
        </w:rPr>
        <w:sym w:font="Symbol" w:char="f0b7"/>
      </w:r>
      <w:r>
        <w:rPr/>
        <w:tab/>
        <w:t xml:space="preserve">General discussion of our four basic goals of rate design </w:t>
      </w:r>
    </w:p>
    <w:p>
      <w:pPr>
        <w:pStyle w:val="Normal"/>
        <w:rPr/>
      </w:pPr>
      <w:r>
        <w:rPr/>
      </w:r>
    </w:p>
    <w:p>
      <w:pPr>
        <w:pStyle w:val="Normal"/>
        <w:rPr/>
      </w:pPr>
      <w:r>
        <w:rPr/>
        <w:tab/>
        <w:tab/>
      </w:r>
      <w:r>
        <w:rPr>
          <w:rFonts w:eastAsia="Symbol" w:cs="Symbol" w:ascii="Symbol" w:hAnsi="Symbol"/>
        </w:rPr>
        <w:sym w:font="Symbol" w:char="f0b7"/>
      </w:r>
      <w:r>
        <w:rPr/>
        <w:tab/>
        <w:t>appropriate price signal</w:t>
      </w:r>
    </w:p>
    <w:p>
      <w:pPr>
        <w:pStyle w:val="Normal"/>
        <w:rPr/>
      </w:pPr>
      <w:r>
        <w:rPr/>
        <w:tab/>
        <w:tab/>
      </w:r>
      <w:r>
        <w:rPr>
          <w:rFonts w:eastAsia="Symbol" w:cs="Symbol" w:ascii="Symbol" w:hAnsi="Symbol"/>
        </w:rPr>
        <w:sym w:font="Symbol" w:char="f0b7"/>
      </w:r>
      <w:r>
        <w:rPr/>
        <w:tab/>
        <w:t>treat all classes in a clear and consistent manner</w:t>
      </w:r>
    </w:p>
    <w:p>
      <w:pPr>
        <w:pStyle w:val="Normal"/>
        <w:rPr/>
      </w:pPr>
      <w:r>
        <w:rPr/>
        <w:tab/>
        <w:tab/>
      </w:r>
      <w:r>
        <w:rPr>
          <w:rFonts w:eastAsia="Symbol" w:cs="Symbol" w:ascii="Symbol" w:hAnsi="Symbol"/>
        </w:rPr>
        <w:sym w:font="Symbol" w:char="f0b7"/>
      </w:r>
      <w:r>
        <w:rPr/>
        <w:tab/>
        <w:t>achieve the targeted revenue requirement</w:t>
      </w:r>
    </w:p>
    <w:p>
      <w:pPr>
        <w:pStyle w:val="Normal"/>
        <w:rPr/>
      </w:pPr>
      <w:r>
        <w:rPr/>
        <w:tab/>
        <w:tab/>
      </w:r>
      <w:r>
        <w:rPr>
          <w:rFonts w:eastAsia="Symbol" w:cs="Symbol" w:ascii="Symbol" w:hAnsi="Symbol"/>
        </w:rPr>
        <w:sym w:font="Symbol" w:char="f0b7"/>
      </w:r>
      <w:r>
        <w:rPr/>
        <w:tab/>
        <w:t>readily understood and easy to administer</w:t>
      </w:r>
    </w:p>
    <w:p>
      <w:pPr>
        <w:pStyle w:val="Normal"/>
        <w:rPr/>
      </w:pPr>
      <w:r>
        <w:rPr/>
        <w:tab/>
        <w:tab/>
      </w:r>
    </w:p>
    <w:p>
      <w:pPr>
        <w:pStyle w:val="Normal"/>
        <w:rPr>
          <w:b/>
        </w:rPr>
      </w:pPr>
      <w:r>
        <w:rPr>
          <w:b/>
        </w:rPr>
        <w:tab/>
      </w:r>
    </w:p>
    <w:p>
      <w:pPr>
        <w:pStyle w:val="Normal"/>
        <w:rPr>
          <w:b/>
        </w:rPr>
      </w:pPr>
      <w:r>
        <w:rPr>
          <w:b/>
        </w:rPr>
        <w:t>II.</w:t>
        <w:tab/>
        <w:t>Revenue Allocation</w:t>
      </w:r>
    </w:p>
    <w:p>
      <w:pPr>
        <w:pStyle w:val="Normal"/>
        <w:rPr>
          <w:b/>
        </w:rPr>
      </w:pPr>
      <w:r>
        <w:rPr>
          <w:b/>
        </w:rPr>
        <w:tab/>
      </w:r>
    </w:p>
    <w:p>
      <w:pPr>
        <w:pStyle w:val="Normal"/>
        <w:ind w:hanging="720" w:start="1440" w:end="0"/>
        <w:rPr/>
      </w:pPr>
      <w:r>
        <w:rPr>
          <w:rFonts w:eastAsia="Symbol" w:cs="Symbol" w:ascii="Symbol" w:hAnsi="Symbol"/>
          <w:b/>
        </w:rPr>
        <w:sym w:font="Symbol" w:char="f0b7"/>
      </w:r>
      <w:r>
        <w:rPr>
          <w:b/>
        </w:rPr>
        <w:tab/>
      </w:r>
      <w:r>
        <w:rPr>
          <w:b/>
          <w:color w:val="0000FF"/>
        </w:rPr>
        <w:t xml:space="preserve">There have been a multitude of allocation methods presented ranging from 1) allocation based on the highest 100 hours, 2) allocation in proportion to current generation recover, 3) equal % increase to all customer classes, and 4) equal c/kWh to each customer class. </w:t>
      </w:r>
    </w:p>
    <w:p>
      <w:pPr>
        <w:pStyle w:val="Normal"/>
        <w:ind w:hanging="720" w:start="1440" w:end="0"/>
        <w:rPr>
          <w:b/>
          <w:color w:val="0000FF"/>
        </w:rPr>
      </w:pPr>
      <w:r>
        <w:rPr>
          <w:b/>
          <w:color w:val="0000FF"/>
        </w:rPr>
      </w:r>
    </w:p>
    <w:p>
      <w:pPr>
        <w:pStyle w:val="Normal"/>
        <w:ind w:start="1440" w:end="0"/>
        <w:rPr>
          <w:b/>
          <w:color w:val="0000FF"/>
        </w:rPr>
      </w:pPr>
      <w:r>
        <w:rPr>
          <w:b/>
          <w:color w:val="0000FF"/>
        </w:rPr>
        <w:t>Given the lack of time to prepare for this hearing Enron believes that there are only 2 non arbitrary methods 1) $30/MWh by rate class or 2) Allocate the increased costs associated with the $30/MWh by existing generation bills.  The reason that these 2 methods are not arbitrary is that;  2) was developed with great detailed study formerly; and 1) is what one would do given that there is no credible new testimony filed to allocate differently.  Enron favors the 2)  because it is the result of a more complete study at a previous time.</w:t>
      </w:r>
    </w:p>
    <w:p>
      <w:pPr>
        <w:pStyle w:val="Normal"/>
        <w:ind w:hanging="720" w:start="1440" w:end="0"/>
        <w:rPr/>
      </w:pPr>
      <w:r>
        <w:rPr/>
      </w:r>
    </w:p>
    <w:p>
      <w:pPr>
        <w:pStyle w:val="Normal"/>
        <w:ind w:start="1440" w:end="0"/>
        <w:rPr>
          <w:color w:val="FF0000"/>
        </w:rPr>
      </w:pPr>
      <w:r>
        <w:rPr>
          <w:color w:val="FF0000"/>
        </w:rPr>
        <w:t xml:space="preserve">Our proposed methodology works regardless of allocation method.  For example, if the commission were to adopt CLECA method, and CLECA method resulted in $25/MWh increase, instead of our illustrated $30/MWh increase, the threshold would be increased to 88.5% instead of 87%.  </w:t>
      </w:r>
    </w:p>
    <w:p>
      <w:pPr>
        <w:pStyle w:val="Normal"/>
        <w:ind w:start="1440" w:end="0"/>
        <w:rPr>
          <w:color w:val="FF0000"/>
        </w:rPr>
      </w:pPr>
      <w:r>
        <w:rPr>
          <w:color w:val="FF0000"/>
        </w:rPr>
      </w:r>
    </w:p>
    <w:p>
      <w:pPr>
        <w:pStyle w:val="Normal"/>
        <w:ind w:hanging="720" w:start="1440" w:end="0"/>
        <w:rPr/>
      </w:pPr>
      <w:r>
        <w:rPr>
          <w:rFonts w:eastAsia="Symbol" w:cs="Symbol" w:ascii="Symbol" w:hAnsi="Symbol"/>
        </w:rPr>
        <w:sym w:font="Symbol" w:char="f0b7"/>
      </w:r>
      <w:r>
        <w:rPr/>
        <w:tab/>
        <w:t>Regarding the issue of Reallocation of revenues lost from the 130% of baseline exemption within the residential class – T</w:t>
      </w:r>
      <w:r>
        <w:rPr>
          <w:color w:val="FF0000"/>
        </w:rPr>
        <w:t>he subsidy should stay within rate class because: i) the law says that it should and ii) corporations do not pay taxes but just reallocate them in a different way thus good tax policy would spread these costs in a way that makes it clear what is happening to those that ultimately pay for all taxes – the residential consumer; iii) it is a long standing principle that costs of rate classes should remain within the rate class.</w:t>
      </w:r>
    </w:p>
    <w:p>
      <w:pPr>
        <w:pStyle w:val="Normal"/>
        <w:ind w:hanging="720" w:start="1440" w:end="0"/>
        <w:rPr>
          <w:color w:val="FF0000"/>
        </w:rPr>
      </w:pPr>
      <w:r>
        <w:rPr>
          <w:color w:val="FF0000"/>
        </w:rPr>
      </w:r>
    </w:p>
    <w:p>
      <w:pPr>
        <w:pStyle w:val="Normal"/>
        <w:rPr>
          <w:b/>
        </w:rPr>
      </w:pPr>
      <w:r>
        <w:rPr>
          <w:b/>
        </w:rPr>
        <w:t>III.</w:t>
        <w:tab/>
        <w:t>Rate Design</w:t>
      </w:r>
    </w:p>
    <w:p>
      <w:pPr>
        <w:pStyle w:val="Normal"/>
        <w:rPr>
          <w:b/>
        </w:rPr>
      </w:pPr>
      <w:r>
        <w:rPr>
          <w:b/>
        </w:rPr>
      </w:r>
    </w:p>
    <w:p>
      <w:pPr>
        <w:pStyle w:val="Normal"/>
        <w:rPr>
          <w:b/>
        </w:rPr>
      </w:pPr>
      <w:r>
        <w:rPr>
          <w:b/>
        </w:rPr>
        <w:tab/>
        <w:t>A.</w:t>
        <w:tab/>
        <w:t>Primary Proposal</w:t>
      </w:r>
    </w:p>
    <w:p>
      <w:pPr>
        <w:pStyle w:val="Normal"/>
        <w:numPr>
          <w:ilvl w:val="0"/>
          <w:numId w:val="3"/>
        </w:numPr>
        <w:rPr>
          <w:b/>
        </w:rPr>
      </w:pPr>
      <w:r>
        <w:rPr>
          <w:b/>
        </w:rPr>
      </w:r>
    </w:p>
    <w:p>
      <w:pPr>
        <w:pStyle w:val="Normal"/>
        <w:rPr/>
      </w:pPr>
      <w:r>
        <w:rPr>
          <w:rFonts w:cs="Helv" w:ascii="Helv" w:hAnsi="Helv"/>
          <w:color w:val="FF0000"/>
          <w:lang w:eastAsia="en-US"/>
        </w:rPr>
        <w:t xml:space="preserve">Enron proposal is the best proposal that simultanteously meets all of the CPUC design criteria: </w:t>
      </w:r>
      <w:r>
        <w:rPr/>
        <w:t xml:space="preserve">I) it reflects marginal costs in all hours, ii) it treats all classes in a consistent manner, iii) it achieves the targeted revenue requirement, and iv) it is readily understandable. </w:t>
      </w:r>
    </w:p>
    <w:p>
      <w:pPr>
        <w:pStyle w:val="Normal"/>
        <w:rPr/>
      </w:pPr>
      <w:r>
        <w:rPr/>
        <w:tab/>
        <w:tab/>
      </w:r>
      <w:r>
        <w:rPr>
          <w:rFonts w:eastAsia="Symbol" w:cs="Symbol" w:ascii="Symbol" w:hAnsi="Symbol"/>
        </w:rPr>
        <w:sym w:font="Symbol" w:char="f0b7"/>
      </w:r>
      <w:r>
        <w:rPr/>
        <w:tab/>
        <w:t>treat all classes in a clear and consistent manner</w:t>
      </w:r>
    </w:p>
    <w:p>
      <w:pPr>
        <w:pStyle w:val="Normal"/>
        <w:rPr/>
      </w:pPr>
      <w:r>
        <w:rPr/>
        <w:tab/>
        <w:tab/>
      </w:r>
      <w:r>
        <w:rPr>
          <w:rFonts w:eastAsia="Symbol" w:cs="Symbol" w:ascii="Symbol" w:hAnsi="Symbol"/>
        </w:rPr>
        <w:sym w:font="Symbol" w:char="f0b7"/>
      </w:r>
      <w:r>
        <w:rPr/>
        <w:tab/>
        <w:t>achieve the targeted revenue requirement</w:t>
      </w:r>
    </w:p>
    <w:p>
      <w:pPr>
        <w:pStyle w:val="Normal"/>
        <w:rPr/>
      </w:pPr>
      <w:r>
        <w:rPr/>
        <w:tab/>
        <w:tab/>
      </w:r>
      <w:r>
        <w:rPr>
          <w:rFonts w:eastAsia="Symbol" w:cs="Symbol" w:ascii="Symbol" w:hAnsi="Symbol"/>
        </w:rPr>
        <w:sym w:font="Symbol" w:char="f0b7"/>
      </w:r>
      <w:r>
        <w:rPr/>
        <w:tab/>
        <w:t>readily understood and easy to administer</w:t>
      </w:r>
    </w:p>
    <w:p>
      <w:pPr>
        <w:pStyle w:val="Normal"/>
        <w:numPr>
          <w:ilvl w:val="0"/>
          <w:numId w:val="3"/>
        </w:numPr>
        <w:tabs>
          <w:tab w:val="clear" w:pos="720"/>
          <w:tab w:val="left" w:pos="1080" w:leader="none"/>
        </w:tabs>
        <w:spacing w:lineRule="atLeast" w:line="240"/>
        <w:ind w:hanging="360" w:start="1080" w:end="0"/>
        <w:rPr>
          <w:rFonts w:ascii="Helv" w:hAnsi="Helv" w:cs="Helv"/>
          <w:color w:val="FF0000"/>
          <w:lang w:eastAsia="en-US"/>
        </w:rPr>
      </w:pPr>
      <w:r>
        <w:rPr>
          <w:rFonts w:eastAsia="Helv" w:cs="Helv" w:ascii="Helv" w:hAnsi="Helv"/>
          <w:color w:val="FF0000"/>
          <w:lang w:eastAsia="en-US"/>
        </w:rPr>
        <w:t xml:space="preserve"> </w:t>
      </w:r>
      <w:r>
        <w:rPr>
          <w:rFonts w:cs="Helv" w:ascii="Helv" w:hAnsi="Helv"/>
          <w:color w:val="FF0000"/>
          <w:lang w:eastAsia="en-US"/>
        </w:rPr>
        <w:t>RTP is the only proposed method that follows marginal costs and is not arbitrary.</w:t>
      </w:r>
    </w:p>
    <w:p>
      <w:pPr>
        <w:pStyle w:val="Normal"/>
        <w:spacing w:lineRule="atLeast" w:line="240"/>
        <w:rPr>
          <w:rFonts w:ascii="Helv" w:hAnsi="Helv" w:cs="Helv"/>
          <w:color w:val="FF0000"/>
          <w:lang w:eastAsia="en-US"/>
        </w:rPr>
      </w:pPr>
      <w:r>
        <w:rPr>
          <w:rFonts w:cs="Helv" w:ascii="Helv" w:hAnsi="Helv"/>
          <w:color w:val="FF0000"/>
          <w:lang w:eastAsia="en-US"/>
        </w:rPr>
      </w:r>
    </w:p>
    <w:p>
      <w:pPr>
        <w:pStyle w:val="Normal"/>
        <w:spacing w:lineRule="atLeast" w:line="240"/>
        <w:ind w:firstLine="360" w:start="720" w:end="0"/>
        <w:rPr>
          <w:rFonts w:ascii="Helv" w:hAnsi="Helv" w:cs="Helv"/>
          <w:color w:val="FF0000"/>
          <w:lang w:eastAsia="en-US"/>
        </w:rPr>
      </w:pPr>
      <w:r>
        <w:rPr>
          <w:rFonts w:cs="Helv" w:ascii="Helv" w:hAnsi="Helv"/>
          <w:color w:val="FF0000"/>
          <w:lang w:eastAsia="en-US"/>
        </w:rPr>
        <w:t>RTP is the only proposed method that does not overemphasize summer or winter.  Overemphasizing summer hurts conservation measures  because some projects require i) capital investments that may not be possible in time to meet the summer peak and ii) some capital investments will require more time than 4 months for economic justification, and</w:t>
      </w:r>
    </w:p>
    <w:p>
      <w:pPr>
        <w:pStyle w:val="Normal"/>
        <w:spacing w:lineRule="atLeast" w:line="240"/>
        <w:ind w:start="720" w:end="0"/>
        <w:rPr>
          <w:rFonts w:ascii="Helv" w:hAnsi="Helv" w:cs="Helv"/>
          <w:color w:val="FF0000"/>
          <w:lang w:eastAsia="en-US"/>
        </w:rPr>
      </w:pPr>
      <w:r>
        <w:rPr>
          <w:rFonts w:cs="Helv" w:ascii="Helv" w:hAnsi="Helv"/>
          <w:color w:val="FF0000"/>
          <w:lang w:eastAsia="en-US"/>
        </w:rPr>
      </w:r>
    </w:p>
    <w:p>
      <w:pPr>
        <w:pStyle w:val="Normal"/>
        <w:spacing w:lineRule="atLeast" w:line="240"/>
        <w:ind w:firstLine="720" w:end="0"/>
        <w:rPr>
          <w:rFonts w:ascii="Helv" w:hAnsi="Helv" w:cs="Helv"/>
          <w:color w:val="FF0000"/>
          <w:lang w:eastAsia="en-US"/>
        </w:rPr>
      </w:pPr>
      <w:r>
        <w:rPr>
          <w:rFonts w:cs="Helv" w:ascii="Helv" w:hAnsi="Helv"/>
          <w:color w:val="FF0000"/>
          <w:lang w:eastAsia="en-US"/>
        </w:rPr>
        <w:t>RTP is the only proposed method that does not underemphasise winter.  Underemphasising winter hurts conservation measures because some  projects that should be proceed with in the winter will be delayed to the summer because of prices that are too low.</w:t>
      </w:r>
    </w:p>
    <w:p>
      <w:pPr>
        <w:pStyle w:val="Normal"/>
        <w:spacing w:lineRule="atLeast" w:line="240"/>
        <w:ind w:firstLine="720" w:end="0"/>
        <w:rPr>
          <w:rFonts w:ascii="Helv" w:hAnsi="Helv" w:cs="Helv"/>
          <w:color w:val="FF0000"/>
          <w:lang w:eastAsia="en-US"/>
        </w:rPr>
      </w:pPr>
      <w:r>
        <w:rPr>
          <w:rFonts w:cs="Helv" w:ascii="Helv" w:hAnsi="Helv"/>
          <w:color w:val="FF0000"/>
          <w:lang w:eastAsia="en-US"/>
        </w:rPr>
      </w:r>
    </w:p>
    <w:p>
      <w:pPr>
        <w:pStyle w:val="Normal"/>
        <w:spacing w:lineRule="atLeast" w:line="240"/>
        <w:ind w:firstLine="720" w:end="0"/>
        <w:rPr>
          <w:rFonts w:ascii="Helv" w:hAnsi="Helv" w:cs="Helv"/>
          <w:color w:val="FF0000"/>
          <w:lang w:eastAsia="en-US"/>
        </w:rPr>
      </w:pPr>
      <w:r>
        <w:rPr>
          <w:rFonts w:cs="Helv" w:ascii="Helv" w:hAnsi="Helv"/>
          <w:color w:val="FF0000"/>
          <w:lang w:eastAsia="en-US"/>
        </w:rPr>
        <w:t>RTP is the only proposed method that gives the right price signal in all hours.</w:t>
      </w:r>
    </w:p>
    <w:p>
      <w:pPr>
        <w:pStyle w:val="Normal"/>
        <w:spacing w:lineRule="atLeast" w:line="240"/>
        <w:ind w:firstLine="720" w:end="0"/>
        <w:rPr>
          <w:rFonts w:ascii="Helv" w:hAnsi="Helv" w:cs="Helv"/>
          <w:color w:val="FF0000"/>
          <w:lang w:eastAsia="en-US"/>
        </w:rPr>
      </w:pPr>
      <w:r>
        <w:rPr>
          <w:rFonts w:cs="Helv" w:ascii="Helv" w:hAnsi="Helv"/>
          <w:color w:val="FF0000"/>
          <w:lang w:eastAsia="en-US"/>
        </w:rPr>
      </w:r>
    </w:p>
    <w:p>
      <w:pPr>
        <w:pStyle w:val="Normal"/>
        <w:spacing w:lineRule="atLeast" w:line="240"/>
        <w:ind w:firstLine="720" w:end="0"/>
        <w:rPr>
          <w:rFonts w:ascii="Helv" w:hAnsi="Helv" w:cs="Helv"/>
          <w:color w:val="FF0000"/>
          <w:lang w:eastAsia="en-US"/>
        </w:rPr>
      </w:pPr>
      <w:r>
        <w:rPr>
          <w:rFonts w:cs="Helv" w:ascii="Helv" w:hAnsi="Helv"/>
          <w:color w:val="FF0000"/>
          <w:lang w:eastAsia="en-US"/>
        </w:rPr>
        <w:t>RTP is the only proposed method that responds to changes in prices.</w:t>
      </w:r>
    </w:p>
    <w:p>
      <w:pPr>
        <w:pStyle w:val="Normal"/>
        <w:spacing w:lineRule="atLeast" w:line="240"/>
        <w:rPr>
          <w:rFonts w:ascii="Helv" w:hAnsi="Helv" w:cs="Helv"/>
          <w:color w:val="FF0000"/>
          <w:lang w:eastAsia="en-US"/>
        </w:rPr>
      </w:pPr>
      <w:r>
        <w:rPr>
          <w:rFonts w:cs="Helv" w:ascii="Helv" w:hAnsi="Helv"/>
          <w:color w:val="FF0000"/>
          <w:lang w:eastAsia="en-US"/>
        </w:rPr>
      </w:r>
    </w:p>
    <w:p>
      <w:pPr>
        <w:pStyle w:val="Normal"/>
        <w:numPr>
          <w:ilvl w:val="0"/>
          <w:numId w:val="4"/>
        </w:numPr>
        <w:spacing w:lineRule="atLeast" w:line="240"/>
        <w:rPr>
          <w:rFonts w:ascii="Helv" w:hAnsi="Helv" w:cs="Helv"/>
          <w:color w:val="FF0000"/>
          <w:lang w:eastAsia="en-US"/>
        </w:rPr>
      </w:pPr>
      <w:r>
        <w:rPr>
          <w:rFonts w:cs="Helv" w:ascii="Helv" w:hAnsi="Helv"/>
          <w:color w:val="FF0000"/>
          <w:lang w:eastAsia="en-US"/>
        </w:rPr>
        <w:t xml:space="preserve">2 Part RTP rate is practical; </w:t>
      </w:r>
    </w:p>
    <w:p>
      <w:pPr>
        <w:pStyle w:val="Normal"/>
        <w:numPr>
          <w:ilvl w:val="0"/>
          <w:numId w:val="4"/>
        </w:numPr>
        <w:tabs>
          <w:tab w:val="left" w:pos="720" w:leader="none"/>
        </w:tabs>
        <w:spacing w:lineRule="atLeast" w:line="240"/>
        <w:ind w:hanging="360" w:start="720" w:end="0"/>
        <w:rPr>
          <w:rFonts w:ascii="Helv" w:hAnsi="Helv" w:cs="Helv"/>
          <w:color w:val="FF0000"/>
          <w:lang w:eastAsia="en-US"/>
        </w:rPr>
      </w:pPr>
      <w:r>
        <w:rPr>
          <w:rFonts w:cs="Helv" w:ascii="Helv" w:hAnsi="Helv"/>
          <w:color w:val="FF0000"/>
          <w:lang w:eastAsia="en-US"/>
        </w:rPr>
        <w:t>Historical load can be determined</w:t>
      </w:r>
    </w:p>
    <w:p>
      <w:pPr>
        <w:pStyle w:val="Normal"/>
        <w:numPr>
          <w:ilvl w:val="0"/>
          <w:numId w:val="4"/>
        </w:numPr>
        <w:tabs>
          <w:tab w:val="left" w:pos="720" w:leader="none"/>
        </w:tabs>
        <w:spacing w:lineRule="atLeast" w:line="240"/>
        <w:ind w:hanging="360" w:start="720" w:end="0"/>
        <w:rPr>
          <w:rFonts w:ascii="Helv" w:hAnsi="Helv" w:cs="Helv"/>
          <w:color w:val="FF0000"/>
          <w:lang w:eastAsia="en-US"/>
        </w:rPr>
      </w:pPr>
      <w:r>
        <w:rPr>
          <w:rFonts w:cs="Helv" w:ascii="Helv" w:hAnsi="Helv"/>
          <w:color w:val="FF0000"/>
          <w:lang w:eastAsia="en-US"/>
        </w:rPr>
        <w:t>Market Value is available from DJ</w:t>
      </w:r>
    </w:p>
    <w:p>
      <w:pPr>
        <w:pStyle w:val="Normal"/>
        <w:rPr>
          <w:rFonts w:ascii="Helv" w:hAnsi="Helv" w:cs="Helv"/>
          <w:color w:val="FF0000"/>
          <w:lang w:eastAsia="en-US"/>
        </w:rPr>
      </w:pPr>
      <w:r>
        <w:rPr>
          <w:rFonts w:cs="Helv" w:ascii="Helv" w:hAnsi="Helv"/>
          <w:color w:val="FF0000"/>
          <w:lang w:eastAsia="en-US"/>
        </w:rPr>
        <w:t>It can be billed if we map</w:t>
      </w:r>
    </w:p>
    <w:p>
      <w:pPr>
        <w:pStyle w:val="Normal"/>
        <w:rPr>
          <w:rFonts w:ascii="Helv" w:hAnsi="Helv" w:cs="Helv"/>
          <w:color w:val="FF0000"/>
          <w:lang w:eastAsia="en-US"/>
        </w:rPr>
      </w:pPr>
      <w:r>
        <w:rPr>
          <w:rFonts w:cs="Helv" w:ascii="Helv" w:hAnsi="Helv"/>
          <w:color w:val="FF0000"/>
          <w:lang w:eastAsia="en-US"/>
        </w:rPr>
        <w:t>Billing is possible for June 1 or perhaps several weeks later.</w:t>
      </w:r>
    </w:p>
    <w:p>
      <w:pPr>
        <w:pStyle w:val="Normal"/>
        <w:rPr>
          <w:rFonts w:ascii="Helv" w:hAnsi="Helv" w:cs="Helv"/>
          <w:color w:val="FF0000"/>
          <w:lang w:eastAsia="en-US"/>
        </w:rPr>
      </w:pPr>
      <w:r>
        <w:rPr>
          <w:rFonts w:cs="Helv" w:ascii="Helv" w:hAnsi="Helv"/>
          <w:color w:val="FF0000"/>
          <w:lang w:eastAsia="en-US"/>
        </w:rPr>
      </w:r>
    </w:p>
    <w:p>
      <w:pPr>
        <w:pStyle w:val="Normal"/>
        <w:rPr>
          <w:b/>
        </w:rPr>
      </w:pPr>
      <w:r>
        <w:rPr>
          <w:rFonts w:cs="Helv" w:ascii="Helv" w:hAnsi="Helv"/>
          <w:color w:val="FF0000"/>
          <w:lang w:eastAsia="en-US"/>
        </w:rPr>
        <w:t>Voluntary RTP with negotiations for mutually agreeable negotiations for CBL solve the problems</w:t>
      </w:r>
    </w:p>
    <w:p>
      <w:pPr>
        <w:pStyle w:val="Normal"/>
        <w:rPr>
          <w:b/>
        </w:rPr>
      </w:pPr>
      <w:r>
        <w:rPr>
          <w:b/>
        </w:rPr>
      </w:r>
    </w:p>
    <w:p>
      <w:pPr>
        <w:pStyle w:val="Normal"/>
        <w:numPr>
          <w:ilvl w:val="0"/>
          <w:numId w:val="4"/>
        </w:numPr>
        <w:rPr>
          <w:b/>
          <w:color w:val="FF0000"/>
        </w:rPr>
      </w:pPr>
      <w:r>
        <w:rPr>
          <w:rFonts w:cs="Helv" w:ascii="Helv" w:hAnsi="Helv"/>
          <w:color w:val="FF0000"/>
          <w:lang w:eastAsia="en-US"/>
        </w:rPr>
        <w:t>Free riders could be solved by limiting the decremental payments to 87%.</w:t>
      </w:r>
    </w:p>
    <w:p>
      <w:pPr>
        <w:pStyle w:val="Normal"/>
        <w:numPr>
          <w:ilvl w:val="0"/>
          <w:numId w:val="4"/>
        </w:numPr>
        <w:rPr>
          <w:b/>
          <w:color w:val="FF0000"/>
        </w:rPr>
      </w:pPr>
      <w:r>
        <w:rPr>
          <w:rFonts w:cs="Helv" w:ascii="Helv" w:hAnsi="Helv"/>
          <w:color w:val="FF0000"/>
          <w:lang w:eastAsia="en-US"/>
        </w:rPr>
        <w:t>New load could be solved by requiring the utility to negotiate a CBL with the customer where the customer can prove that he has added production facilities.</w:t>
      </w:r>
    </w:p>
    <w:p>
      <w:pPr>
        <w:pStyle w:val="Normal"/>
        <w:rPr>
          <w:b/>
          <w:color w:val="FF0000"/>
        </w:rPr>
      </w:pPr>
      <w:r>
        <w:rPr>
          <w:b/>
          <w:color w:val="FF0000"/>
        </w:rPr>
      </w:r>
    </w:p>
    <w:p>
      <w:pPr>
        <w:pStyle w:val="Normal"/>
        <w:ind w:hanging="720" w:start="2160" w:end="0"/>
        <w:rPr/>
      </w:pPr>
      <w:r>
        <w:rPr>
          <w:rFonts w:eastAsia="Symbol" w:cs="Symbol" w:ascii="Symbol" w:hAnsi="Symbol"/>
        </w:rPr>
        <w:sym w:font="Symbol" w:char="f0b7"/>
      </w:r>
      <w:r>
        <w:rPr/>
        <w:tab/>
        <w:t>Two Part Time of Use Rates – rate unchanged for customer’s normal load (87 percent of baseline) and market prices for energy consumption above that.</w:t>
      </w:r>
    </w:p>
    <w:p>
      <w:pPr>
        <w:pStyle w:val="Normal"/>
        <w:ind w:hanging="720" w:start="2160" w:end="0"/>
        <w:rPr/>
      </w:pPr>
      <w:r>
        <w:rPr/>
      </w:r>
    </w:p>
    <w:p>
      <w:pPr>
        <w:pStyle w:val="Normal"/>
        <w:ind w:hanging="720" w:start="2880" w:end="0"/>
        <w:rPr/>
      </w:pPr>
      <w:r>
        <w:rPr>
          <w:rFonts w:eastAsia="Symbol" w:cs="Symbol" w:ascii="Symbol" w:hAnsi="Symbol"/>
        </w:rPr>
        <w:sym w:font="Symbol" w:char="f0b7"/>
      </w:r>
      <w:r>
        <w:rPr/>
        <w:tab/>
        <w:t>The baseline was derived by Explanation as to how baseline is derived (same month, prior year) and how you deal with problems  (e.g., customer does not have prior year usage; customer has significant change in processes).</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Explanation of the market price to be used (Dow Jones indices) and why these indices are the best marginal price signals)</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Explanation of decremental credit</w:t>
      </w:r>
    </w:p>
    <w:p>
      <w:pPr>
        <w:pStyle w:val="Normal"/>
        <w:ind w:hanging="720" w:start="2880" w:end="0"/>
        <w:rPr/>
      </w:pPr>
      <w:r>
        <w:rPr/>
      </w:r>
    </w:p>
    <w:p>
      <w:pPr>
        <w:pStyle w:val="Normal"/>
        <w:ind w:start="1440" w:end="0"/>
        <w:rPr/>
      </w:pPr>
      <w:r>
        <w:rPr>
          <w:rFonts w:eastAsia="Symbol" w:cs="Symbol" w:ascii="Symbol" w:hAnsi="Symbol"/>
        </w:rPr>
        <w:sym w:font="Symbol" w:char="f0b7"/>
      </w:r>
      <w:r>
        <w:rPr/>
        <w:tab/>
        <w:t xml:space="preserve">Explanation of how proposal meets rate design goals       </w:t>
      </w:r>
    </w:p>
    <w:p>
      <w:pPr>
        <w:pStyle w:val="Normal"/>
        <w:ind w:hanging="720" w:start="1440" w:end="0"/>
        <w:rPr/>
      </w:pPr>
      <w:r>
        <w:rPr/>
      </w:r>
    </w:p>
    <w:p>
      <w:pPr>
        <w:pStyle w:val="Normal"/>
        <w:ind w:hanging="720" w:start="2880" w:end="0"/>
        <w:rPr/>
      </w:pPr>
      <w:r>
        <w:rPr>
          <w:rFonts w:eastAsia="Symbol" w:cs="Symbol" w:ascii="Symbol" w:hAnsi="Symbol"/>
        </w:rPr>
        <w:sym w:font="Symbol" w:char="f0b7"/>
      </w:r>
      <w:r>
        <w:rPr/>
        <w:tab/>
        <w:t xml:space="preserve">Appropriate price signal – tying this into goal of ACR to promote conservation  </w:t>
      </w:r>
    </w:p>
    <w:p>
      <w:pPr>
        <w:pStyle w:val="Normal"/>
        <w:rPr>
          <w:b/>
        </w:rPr>
      </w:pPr>
      <w:r>
        <w:rPr>
          <w:b/>
        </w:rPr>
        <w:t xml:space="preserve"> </w:t>
      </w:r>
      <w:r>
        <w:rPr>
          <w:b/>
        </w:rPr>
        <w:tab/>
        <w:tab/>
        <w:tab/>
      </w:r>
    </w:p>
    <w:p>
      <w:pPr>
        <w:pStyle w:val="Normal"/>
        <w:ind w:hanging="720" w:start="2880" w:end="0"/>
        <w:rPr/>
      </w:pPr>
      <w:r>
        <w:rPr>
          <w:rFonts w:eastAsia="Symbol" w:cs="Symbol" w:ascii="Symbol" w:hAnsi="Symbol"/>
        </w:rPr>
        <w:sym w:font="Symbol" w:char="f0b7"/>
      </w:r>
      <w:r>
        <w:rPr>
          <w:b/>
        </w:rPr>
        <w:tab/>
        <w:t>A</w:t>
      </w:r>
      <w:r>
        <w:rPr/>
        <w:t>chieve targeted revenue requirement – explanation of why the $300/Mwh annual average market price is a good assumption.  And if it holds true how that translates into approximately three cents/kWh for the TOU rate schedules</w:t>
      </w:r>
    </w:p>
    <w:p>
      <w:pPr>
        <w:pStyle w:val="Normal"/>
        <w:ind w:hanging="720" w:start="2880" w:end="0"/>
        <w:rPr/>
      </w:pPr>
      <w:r>
        <w:rPr/>
      </w:r>
    </w:p>
    <w:p>
      <w:pPr>
        <w:pStyle w:val="Normal"/>
        <w:ind w:hanging="720" w:start="3600" w:end="0"/>
        <w:rPr/>
      </w:pPr>
      <w:r>
        <w:rPr>
          <w:rFonts w:eastAsia="Symbol" w:cs="Symbol" w:ascii="Symbol" w:hAnsi="Symbol"/>
        </w:rPr>
        <w:sym w:font="Symbol" w:char="f0b7"/>
      </w:r>
      <w:r>
        <w:rPr/>
        <w:tab/>
        <w:t>Within this discussion include discussion of how proposal does not violate the rate freeze</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 xml:space="preserve">Treat all customers in a similar manner – our proposal does not deal with all customers, just those within a particular class.  So should the goal be to treat all customers within a class in a similar manner (tying this into the ACR of equity)  </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 xml:space="preserve">Easy to administer and understand  -- we will need to discuss the complexity of deriving historical loads as well as what it would take the UDCs to implement the use of market prices.  </w:t>
      </w:r>
    </w:p>
    <w:p>
      <w:pPr>
        <w:pStyle w:val="Normal"/>
        <w:ind w:hanging="720" w:start="2880" w:end="0"/>
        <w:rPr/>
      </w:pPr>
      <w:r>
        <w:rPr/>
      </w:r>
    </w:p>
    <w:p>
      <w:pPr>
        <w:pStyle w:val="Normal"/>
        <w:ind w:hanging="630" w:start="1440" w:end="0"/>
        <w:rPr>
          <w:b/>
        </w:rPr>
      </w:pPr>
      <w:r>
        <w:rPr>
          <w:b/>
        </w:rPr>
        <w:t>B.</w:t>
        <w:tab/>
        <w:t>Alternative Interim Proposal</w:t>
      </w:r>
    </w:p>
    <w:p>
      <w:pPr>
        <w:pStyle w:val="Normal"/>
        <w:ind w:start="1440" w:end="0"/>
        <w:rPr>
          <w:b/>
        </w:rPr>
      </w:pPr>
      <w:r>
        <w:rPr>
          <w:b/>
        </w:rPr>
      </w:r>
    </w:p>
    <w:p>
      <w:pPr>
        <w:pStyle w:val="Normal"/>
        <w:ind w:start="1440" w:end="0"/>
        <w:rPr/>
      </w:pPr>
      <w:r>
        <w:rPr>
          <w:rFonts w:eastAsia="Symbol" w:cs="Symbol" w:ascii="Symbol" w:hAnsi="Symbol"/>
          <w:b/>
        </w:rPr>
        <w:sym w:font="Symbol" w:char="f0b7"/>
      </w:r>
      <w:r>
        <w:rPr>
          <w:b/>
        </w:rPr>
        <w:tab/>
      </w:r>
      <w:r>
        <w:rPr/>
        <w:t>Uniform three cents per kwh surcharge on energy consumed</w:t>
      </w:r>
      <w:r>
        <w:rPr>
          <w:b/>
        </w:rPr>
        <w:t xml:space="preserve"> </w:t>
      </w:r>
    </w:p>
    <w:p>
      <w:pPr>
        <w:pStyle w:val="Normal"/>
        <w:rPr/>
      </w:pPr>
      <w:r>
        <w:rPr/>
        <w:tab/>
        <w:tab/>
        <w:tab/>
        <w:t>(note – would this apply to all customers or just TOU)</w:t>
      </w:r>
    </w:p>
    <w:p>
      <w:pPr>
        <w:pStyle w:val="Normal"/>
        <w:rPr/>
      </w:pPr>
      <w:r>
        <w:rPr/>
      </w:r>
    </w:p>
    <w:p>
      <w:pPr>
        <w:pStyle w:val="Normal"/>
        <w:ind w:hanging="720" w:start="2160" w:end="0"/>
        <w:rPr/>
      </w:pPr>
      <w:r>
        <w:rPr>
          <w:rFonts w:eastAsia="Symbol" w:cs="Symbol" w:ascii="Symbol" w:hAnsi="Symbol"/>
        </w:rPr>
        <w:sym w:font="Symbol" w:char="f0b7"/>
      </w:r>
      <w:r>
        <w:rPr/>
        <w:tab/>
        <w:t xml:space="preserve">We did not justify this alternative in our testimony – why is this a good thing?  Or are we just saying that it is the easiest to put into place for a few months until our real proposal is adopted? </w:t>
      </w:r>
      <w:r>
        <w:rPr>
          <w:color w:val="FF0000"/>
        </w:rPr>
        <w:t>We are saying that all the other proposals are flawed badly in that they do not encourage appropriate responses in any hour and they are arbitrary without proof.  Given that the only reasonable method is what we proposed, it is worth waiting a couple of weeks longer to get it in place, thus the best proposal is $30/MWh increase across the board, for TOU customers, to be followed by 2 part RTP in a couple of weeks.</w:t>
      </w:r>
    </w:p>
    <w:p>
      <w:pPr>
        <w:pStyle w:val="BodyTextIndent3"/>
        <w:rPr/>
      </w:pPr>
      <w:r>
        <w:rPr/>
        <w:t xml:space="preserve">However, if the CPUC rejects our proposal ($30/MWh across the board followed by 2 part RTP as soon as possible), Enron submits that the appropriate outcome would be </w:t>
      </w:r>
    </w:p>
    <w:p>
      <w:pPr>
        <w:pStyle w:val="BodyTextIndent3"/>
        <w:numPr>
          <w:ilvl w:val="0"/>
          <w:numId w:val="2"/>
        </w:numPr>
        <w:tabs>
          <w:tab w:val="clear" w:pos="720"/>
          <w:tab w:val="left" w:pos="1800" w:leader="none"/>
        </w:tabs>
        <w:ind w:hanging="360" w:start="1800" w:end="0"/>
        <w:rPr/>
      </w:pPr>
      <w:r>
        <w:rPr/>
        <w:t xml:space="preserve">For PGE, take the PGE rate filing and adjust the </w:t>
      </w:r>
    </w:p>
    <w:p>
      <w:pPr>
        <w:pStyle w:val="BodyTextIndent3"/>
        <w:numPr>
          <w:ilvl w:val="0"/>
          <w:numId w:val="2"/>
        </w:numPr>
        <w:tabs>
          <w:tab w:val="clear" w:pos="720"/>
          <w:tab w:val="left" w:pos="2160" w:leader="none"/>
        </w:tabs>
        <w:ind w:hanging="360" w:start="2160" w:end="0"/>
        <w:rPr/>
      </w:pPr>
      <w:r>
        <w:rPr/>
        <w:t>Summer on and off peak such that the on peak is not more than 40% higher than the summer off peak and</w:t>
      </w:r>
    </w:p>
    <w:p>
      <w:pPr>
        <w:pStyle w:val="BodyTextIndent3"/>
        <w:numPr>
          <w:ilvl w:val="0"/>
          <w:numId w:val="2"/>
        </w:numPr>
        <w:tabs>
          <w:tab w:val="clear" w:pos="720"/>
          <w:tab w:val="left" w:pos="2160" w:leader="none"/>
        </w:tabs>
        <w:ind w:hanging="360" w:start="2160" w:end="0"/>
        <w:rPr/>
      </w:pPr>
      <w:r>
        <w:rPr/>
        <w:t>Summer on peak and the winter partial peach such that the summer on peak is not more than 50% higher than the winter peak.</w:t>
      </w:r>
    </w:p>
    <w:p>
      <w:pPr>
        <w:pStyle w:val="BodyTextIndent3"/>
        <w:numPr>
          <w:ilvl w:val="0"/>
          <w:numId w:val="2"/>
        </w:numPr>
        <w:tabs>
          <w:tab w:val="clear" w:pos="720"/>
          <w:tab w:val="left" w:pos="2160" w:leader="none"/>
        </w:tabs>
        <w:ind w:hanging="360" w:start="2160" w:end="0"/>
        <w:rPr/>
      </w:pPr>
      <w:r>
        <w:rPr/>
        <w:t xml:space="preserve">Winter partial and off peak such that the paritial peak is not more than 40% higher than the winter. off peak </w:t>
      </w:r>
    </w:p>
    <w:p>
      <w:pPr>
        <w:pStyle w:val="BodyTextIndent3"/>
        <w:numPr>
          <w:ilvl w:val="0"/>
          <w:numId w:val="2"/>
        </w:numPr>
        <w:tabs>
          <w:tab w:val="clear" w:pos="720"/>
          <w:tab w:val="left" w:pos="1800" w:leader="none"/>
        </w:tabs>
        <w:ind w:hanging="360" w:start="1800" w:end="0"/>
        <w:rPr/>
      </w:pPr>
      <w:r>
        <w:rPr/>
        <w:t xml:space="preserve">For SCE, take the PGE rate filing and adjust the </w:t>
      </w:r>
    </w:p>
    <w:p>
      <w:pPr>
        <w:pStyle w:val="BodyTextIndent3"/>
        <w:numPr>
          <w:ilvl w:val="0"/>
          <w:numId w:val="2"/>
        </w:numPr>
        <w:tabs>
          <w:tab w:val="clear" w:pos="720"/>
          <w:tab w:val="left" w:pos="2160" w:leader="none"/>
        </w:tabs>
        <w:ind w:hanging="360" w:start="2160" w:end="0"/>
        <w:rPr/>
      </w:pPr>
      <w:r>
        <w:rPr/>
        <w:t>Summer on and off peak such that the on peak is not more than 40% higher than the summer off peak and</w:t>
      </w:r>
    </w:p>
    <w:p>
      <w:pPr>
        <w:pStyle w:val="BodyTextIndent3"/>
        <w:numPr>
          <w:ilvl w:val="0"/>
          <w:numId w:val="2"/>
        </w:numPr>
        <w:tabs>
          <w:tab w:val="clear" w:pos="720"/>
          <w:tab w:val="left" w:pos="2160" w:leader="none"/>
        </w:tabs>
        <w:ind w:hanging="360" w:start="2160" w:end="0"/>
        <w:rPr/>
      </w:pPr>
      <w:r>
        <w:rPr/>
        <w:t>Summer on peak and the winter partial peach such that the summer on peak is not more than 50% higher than the winter peak.</w:t>
      </w:r>
    </w:p>
    <w:p>
      <w:pPr>
        <w:pStyle w:val="BodyTextIndent3"/>
        <w:numPr>
          <w:ilvl w:val="0"/>
          <w:numId w:val="2"/>
        </w:numPr>
        <w:tabs>
          <w:tab w:val="clear" w:pos="720"/>
          <w:tab w:val="left" w:pos="2160" w:leader="none"/>
        </w:tabs>
        <w:ind w:hanging="360" w:start="2160" w:end="0"/>
        <w:rPr/>
      </w:pPr>
      <w:r>
        <w:rPr/>
        <w:t xml:space="preserve">Winter partial and off peak such that the paritial peak is not more than 40% higher than the winter. off peak </w:t>
      </w:r>
    </w:p>
    <w:p>
      <w:pPr>
        <w:pStyle w:val="BodyTextIndent3"/>
        <w:numPr>
          <w:ilvl w:val="0"/>
          <w:numId w:val="2"/>
        </w:numPr>
        <w:tabs>
          <w:tab w:val="clear" w:pos="720"/>
          <w:tab w:val="left" w:pos="1800" w:leader="none"/>
        </w:tabs>
        <w:ind w:hanging="360" w:start="1800" w:end="0"/>
        <w:rPr/>
      </w:pPr>
      <w:r>
        <w:rPr/>
        <w:t xml:space="preserve">Such adjustments </w:t>
      </w:r>
    </w:p>
    <w:p>
      <w:pPr>
        <w:pStyle w:val="BodyTextIndent3"/>
        <w:numPr>
          <w:ilvl w:val="0"/>
          <w:numId w:val="2"/>
        </w:numPr>
        <w:tabs>
          <w:tab w:val="clear" w:pos="720"/>
          <w:tab w:val="left" w:pos="2160" w:leader="none"/>
        </w:tabs>
        <w:ind w:hanging="360" w:start="2160" w:end="0"/>
        <w:rPr/>
      </w:pPr>
      <w:r>
        <w:rPr/>
        <w:t>have similar ratios to the Enron’s current estimate of marginal costs</w:t>
      </w:r>
    </w:p>
    <w:p>
      <w:pPr>
        <w:pStyle w:val="BodyTextIndent3"/>
        <w:numPr>
          <w:ilvl w:val="0"/>
          <w:numId w:val="2"/>
        </w:numPr>
        <w:tabs>
          <w:tab w:val="clear" w:pos="720"/>
          <w:tab w:val="left" w:pos="2160" w:leader="none"/>
        </w:tabs>
        <w:ind w:hanging="360" w:start="2160" w:end="0"/>
        <w:rPr/>
      </w:pPr>
      <w:r>
        <w:rPr/>
        <w:t>Is consistent with the long standing commission practice of allocating costs in equal proportions relative to marginal costs.</w:t>
      </w:r>
    </w:p>
    <w:p>
      <w:pPr>
        <w:pStyle w:val="BodyTextIndent3"/>
        <w:numPr>
          <w:ilvl w:val="0"/>
          <w:numId w:val="2"/>
        </w:numPr>
        <w:tabs>
          <w:tab w:val="clear" w:pos="720"/>
          <w:tab w:val="left" w:pos="1800" w:leader="none"/>
        </w:tabs>
        <w:ind w:hanging="360" w:start="1800" w:end="0"/>
        <w:rPr/>
      </w:pPr>
      <w:r>
        <w:rPr/>
      </w:r>
    </w:p>
    <w:p>
      <w:pPr>
        <w:pStyle w:val="BodyTextIndent3"/>
        <w:ind w:firstLine="720" w:start="0" w:end="0"/>
        <w:rPr/>
      </w:pPr>
      <w:r>
        <w:rPr/>
        <w:t>Recover of Apr, May</w:t>
        <w:tab/>
        <w:tab/>
        <w:tab/>
      </w:r>
    </w:p>
    <w:p>
      <w:pPr>
        <w:pStyle w:val="BodyTextIndent3"/>
        <w:ind w:firstLine="720" w:start="720" w:end="0"/>
        <w:rPr/>
      </w:pPr>
      <w:r>
        <w:rPr/>
        <w:t>PGE’s proposal, to amortize the April, May shortfall over 12 months starting with June 1, 2001,  is okay given the amendments to PGE’s filing proposed above.  However, should the CPUC not accept such proposals, they should amortize the shortfall over 12 months starting in November 1, 2001, to bring the winter marginal costs signals closer to what they should be.</w:t>
      </w:r>
    </w:p>
    <w:p>
      <w:pPr>
        <w:pStyle w:val="BodyTextIndent3"/>
        <w:ind w:firstLine="720" w:start="720" w:end="0"/>
        <w:rPr/>
      </w:pPr>
      <w:r>
        <w:rPr/>
      </w:r>
    </w:p>
    <w:p>
      <w:pPr>
        <w:pStyle w:val="BodyTextIndent3"/>
        <w:ind w:firstLine="720" w:start="720" w:end="0"/>
        <w:rPr/>
      </w:pPr>
      <w:r>
        <w:rPr/>
        <w:t>SCE’s proposal, to amortize the April, May shortfall over 3 months starting with June 1, 2001,  is grossly inappropriate the degree to which their design deviates from current marginal costs.  In the event that the CPUC accepts any such proposal that allocates far greater cost to the summer than the winter or the off peak, they should amortize the shortfall over 12 months starting in November 1, 2001, to bring the winter marginal costs signals closer to what they should be.</w:t>
      </w:r>
    </w:p>
    <w:p>
      <w:pPr>
        <w:pStyle w:val="Normal"/>
        <w:ind w:hanging="720" w:start="2160" w:end="0"/>
        <w:rPr>
          <w:color w:val="0000FF"/>
        </w:rPr>
      </w:pPr>
      <w:r>
        <w:rPr>
          <w:color w:val="0000FF"/>
        </w:rPr>
      </w:r>
    </w:p>
    <w:p>
      <w:pPr>
        <w:pStyle w:val="Normal"/>
        <w:ind w:hanging="720" w:start="2160" w:end="0"/>
        <w:rPr>
          <w:color w:val="0000FF"/>
        </w:rPr>
      </w:pPr>
      <w:r>
        <w:rPr>
          <w:color w:val="0000FF"/>
        </w:rPr>
      </w:r>
    </w:p>
    <w:p>
      <w:pPr>
        <w:pStyle w:val="Normal"/>
        <w:ind w:start="900" w:end="0"/>
        <w:rPr>
          <w:b/>
        </w:rPr>
      </w:pPr>
      <w:r>
        <w:rPr>
          <w:b/>
        </w:rPr>
        <w:t>C.</w:t>
        <w:tab/>
        <w:t>Summer Peak Proposal</w:t>
      </w:r>
    </w:p>
    <w:p>
      <w:pPr>
        <w:pStyle w:val="Normal"/>
        <w:ind w:start="900" w:end="0"/>
        <w:rPr>
          <w:b/>
        </w:rPr>
      </w:pPr>
      <w:r>
        <w:rPr>
          <w:b/>
        </w:rPr>
      </w:r>
    </w:p>
    <w:p>
      <w:pPr>
        <w:pStyle w:val="Normal"/>
        <w:ind w:hanging="720" w:start="2160" w:end="0"/>
        <w:rPr/>
      </w:pPr>
      <w:r>
        <w:rPr>
          <w:rFonts w:eastAsia="Symbol" w:cs="Symbol" w:ascii="Symbol" w:hAnsi="Symbol"/>
        </w:rPr>
        <w:sym w:font="Symbol" w:char="f0b7"/>
      </w:r>
      <w:r>
        <w:rPr/>
        <w:tab/>
        <w:t>Like it or not, the Commission may be heading towards one of the myriad of proposals that have loaded costs into summer peak periods. Given that, we should strongly consider picking one of these proposals and throwing limited support behind it.  I take it from the analysis Scott has done, that perhaps PG&amp;E’s and or ORA’s may be the one to support.</w:t>
      </w:r>
    </w:p>
    <w:p>
      <w:pPr>
        <w:pStyle w:val="Normal"/>
        <w:ind w:hanging="720" w:start="2160" w:end="0"/>
        <w:rPr/>
      </w:pPr>
      <w:r>
        <w:rPr/>
      </w:r>
    </w:p>
    <w:p>
      <w:pPr>
        <w:pStyle w:val="Normal"/>
        <w:rPr>
          <w:b/>
        </w:rPr>
      </w:pPr>
      <w:r>
        <w:rPr>
          <w:b/>
        </w:rPr>
        <w:t xml:space="preserve">IV </w:t>
        <w:tab/>
        <w:t>Other</w:t>
      </w:r>
    </w:p>
    <w:p>
      <w:pPr>
        <w:pStyle w:val="Normal"/>
        <w:rPr>
          <w:b/>
        </w:rPr>
      </w:pPr>
      <w:r>
        <w:rPr>
          <w:b/>
        </w:rPr>
        <w:tab/>
      </w:r>
    </w:p>
    <w:p>
      <w:pPr>
        <w:pStyle w:val="Normal"/>
        <w:numPr>
          <w:ilvl w:val="0"/>
          <w:numId w:val="4"/>
        </w:numPr>
        <w:rPr>
          <w:b/>
          <w:color w:val="FF0000"/>
        </w:rPr>
      </w:pPr>
      <w:r>
        <w:rPr>
          <w:rFonts w:cs="Helv" w:ascii="Helv" w:hAnsi="Helv"/>
          <w:color w:val="FF0000"/>
          <w:lang w:eastAsia="en-US"/>
        </w:rPr>
        <w:t>Px Credit should be set based on Market Value:  This is the law. AB 1890</w:t>
      </w:r>
    </w:p>
    <w:p>
      <w:pPr>
        <w:pStyle w:val="BodyTextIndent2"/>
        <w:rPr/>
      </w:pPr>
      <w:r>
        <w:rPr/>
        <w:t xml:space="preserve">Px credit should be based on DJ-NP15 and DJ-SP15 rather than the defunct Px because AB1890 requires it to be based on market (not costs).  Changing to procured energy is inconsistent with the law AB1890 which requires DA customers to be indifferent to buying from DA suppliers.  </w:t>
      </w:r>
    </w:p>
    <w:p>
      <w:pPr>
        <w:pStyle w:val="Normal"/>
        <w:spacing w:lineRule="atLeast" w:line="240"/>
        <w:ind w:start="1440" w:end="0"/>
        <w:rPr>
          <w:rFonts w:ascii="Helv" w:hAnsi="Helv" w:cs="Helv"/>
          <w:color w:val="000000"/>
          <w:lang w:eastAsia="en-US"/>
        </w:rPr>
      </w:pPr>
      <w:r>
        <w:rPr>
          <w:rFonts w:cs="Helv" w:ascii="Helv" w:hAnsi="Helv"/>
          <w:color w:val="000000"/>
          <w:lang w:eastAsia="en-US"/>
        </w:rPr>
        <w:t xml:space="preserve">And since DA suppliers face costs close to DJ-NP15/SP15, that is the only appropriate available method.  </w:t>
      </w:r>
    </w:p>
    <w:p>
      <w:pPr>
        <w:pStyle w:val="Normal"/>
        <w:spacing w:lineRule="atLeast" w:line="240"/>
        <w:ind w:start="1440" w:end="0"/>
        <w:rPr>
          <w:rFonts w:ascii="Helv" w:hAnsi="Helv" w:cs="Helv"/>
          <w:color w:val="000000"/>
          <w:lang w:eastAsia="en-US"/>
        </w:rPr>
      </w:pPr>
      <w:r>
        <w:rPr>
          <w:rFonts w:cs="Helv" w:ascii="Helv" w:hAnsi="Helv"/>
          <w:color w:val="000000"/>
          <w:lang w:eastAsia="en-US"/>
        </w:rPr>
      </w:r>
    </w:p>
    <w:p>
      <w:pPr>
        <w:pStyle w:val="Normal"/>
        <w:spacing w:lineRule="atLeast" w:line="240"/>
        <w:ind w:start="1440" w:end="0"/>
        <w:rPr>
          <w:rFonts w:ascii="Helv" w:hAnsi="Helv" w:cs="Helv"/>
          <w:color w:val="000000"/>
          <w:lang w:eastAsia="en-US"/>
        </w:rPr>
      </w:pPr>
      <w:r>
        <w:rPr>
          <w:rFonts w:cs="Helv" w:ascii="Helv" w:hAnsi="Helv"/>
          <w:color w:val="000000"/>
          <w:lang w:eastAsia="en-US"/>
        </w:rPr>
        <w:t xml:space="preserve">Further, the issue of how to calculate Px is interrelated to whether DA customers should be charged the generation surcharges ($10 +$30).  DA customers should be given market based Px credits (based on DJNP15/SP15) because its the law.  There are 2 possible interpretations resulting from the combination of AB1890 and the new law.  </w:t>
      </w:r>
    </w:p>
    <w:p>
      <w:pPr>
        <w:pStyle w:val="Normal"/>
        <w:spacing w:lineRule="atLeast" w:line="240"/>
        <w:ind w:start="1440" w:end="0"/>
        <w:rPr>
          <w:rFonts w:ascii="Helv" w:hAnsi="Helv" w:cs="Helv"/>
          <w:color w:val="000000"/>
          <w:lang w:eastAsia="en-US"/>
        </w:rPr>
      </w:pPr>
      <w:r>
        <w:rPr>
          <w:rFonts w:cs="Helv" w:ascii="Helv" w:hAnsi="Helv"/>
          <w:color w:val="000000"/>
          <w:lang w:eastAsia="en-US"/>
        </w:rPr>
        <w:t>The DA customers should get a market based Px credit and not pay any surcharge.</w:t>
      </w:r>
    </w:p>
    <w:p>
      <w:pPr>
        <w:pStyle w:val="Normal"/>
        <w:spacing w:lineRule="atLeast" w:line="240"/>
        <w:ind w:start="1440" w:end="0"/>
        <w:rPr>
          <w:rFonts w:ascii="Helv" w:hAnsi="Helv" w:cs="Helv"/>
          <w:color w:val="000000"/>
          <w:lang w:eastAsia="en-US"/>
        </w:rPr>
      </w:pPr>
      <w:r>
        <w:rPr>
          <w:rFonts w:cs="Helv" w:ascii="Helv" w:hAnsi="Helv"/>
          <w:color w:val="000000"/>
          <w:lang w:eastAsia="en-US"/>
        </w:rPr>
        <w:t>The DA customers should get a market based Px credit and pay the $30 + $10 surcharges</w:t>
      </w:r>
    </w:p>
    <w:p>
      <w:pPr>
        <w:pStyle w:val="Normal"/>
        <w:spacing w:lineRule="atLeast" w:line="240"/>
        <w:ind w:start="1440" w:end="0"/>
        <w:rPr>
          <w:rFonts w:ascii="Helv" w:hAnsi="Helv" w:cs="Helv"/>
          <w:color w:val="000000"/>
          <w:lang w:eastAsia="en-US"/>
        </w:rPr>
      </w:pPr>
      <w:r>
        <w:rPr>
          <w:rFonts w:cs="Helv" w:ascii="Helv" w:hAnsi="Helv"/>
          <w:color w:val="000000"/>
          <w:lang w:eastAsia="en-US"/>
        </w:rPr>
        <w:t>Interpretation 1 results in DA customers getting lower rates than all other customers.  It seems unlikely that the legislation would have this intent.</w:t>
      </w:r>
    </w:p>
    <w:p>
      <w:pPr>
        <w:pStyle w:val="Normal"/>
        <w:spacing w:lineRule="atLeast" w:line="240"/>
        <w:ind w:start="1440" w:end="0"/>
        <w:rPr>
          <w:rFonts w:ascii="Helv" w:hAnsi="Helv" w:cs="Helv"/>
          <w:color w:val="000000"/>
          <w:lang w:eastAsia="en-US"/>
        </w:rPr>
      </w:pPr>
      <w:r>
        <w:rPr>
          <w:rFonts w:cs="Helv" w:ascii="Helv" w:hAnsi="Helv"/>
          <w:color w:val="000000"/>
          <w:lang w:eastAsia="en-US"/>
        </w:rPr>
        <w:t>Interpretation 2 results in DA customers getting the same rate as all other customers until the end of AB1890.  This seems like the likely interpretation since otherwise the new legislation would have repealled AB1890.  Thus given that the DA customers are being held indifferent to frozen rates plus $40, they should get a Px market based credit plus pay the surcharge until the rate freeze ends.</w:t>
      </w:r>
    </w:p>
    <w:p>
      <w:pPr>
        <w:pStyle w:val="Normal"/>
        <w:spacing w:lineRule="atLeast" w:line="240"/>
        <w:ind w:start="1440" w:end="0"/>
        <w:rPr>
          <w:rFonts w:ascii="Helv" w:hAnsi="Helv" w:cs="Helv"/>
          <w:color w:val="000000"/>
          <w:lang w:eastAsia="en-US"/>
        </w:rPr>
      </w:pPr>
      <w:r>
        <w:rPr>
          <w:rFonts w:cs="Helv" w:ascii="Helv" w:hAnsi="Helv"/>
          <w:color w:val="000000"/>
          <w:lang w:eastAsia="en-US"/>
        </w:rPr>
      </w:r>
    </w:p>
    <w:p>
      <w:pPr>
        <w:pStyle w:val="Normal"/>
        <w:spacing w:lineRule="atLeast" w:line="240"/>
        <w:ind w:start="1440" w:end="0"/>
        <w:rPr>
          <w:rFonts w:ascii="Helv" w:hAnsi="Helv" w:cs="Helv"/>
          <w:color w:val="000000"/>
          <w:lang w:eastAsia="en-US"/>
        </w:rPr>
      </w:pPr>
      <w:r>
        <w:rPr>
          <w:rFonts w:cs="Helv" w:ascii="Helv" w:hAnsi="Helv"/>
          <w:color w:val="000000"/>
          <w:lang w:eastAsia="en-US"/>
        </w:rPr>
        <w:t>Once the Px credit ends (Mar 2002), the surcharge should end because the law (AB1890) no longer requires them to be held at frozen rates and because:</w:t>
      </w:r>
    </w:p>
    <w:p>
      <w:pPr>
        <w:pStyle w:val="Normal"/>
        <w:spacing w:lineRule="atLeast" w:line="240"/>
        <w:ind w:start="1440" w:end="0"/>
        <w:rPr>
          <w:rFonts w:ascii="Helv" w:hAnsi="Helv" w:cs="Helv"/>
          <w:color w:val="000000"/>
          <w:lang w:eastAsia="en-US"/>
        </w:rPr>
      </w:pPr>
      <w:r>
        <w:rPr>
          <w:rFonts w:cs="Helv" w:ascii="Helv" w:hAnsi="Helv"/>
          <w:color w:val="000000"/>
          <w:lang w:eastAsia="en-US"/>
        </w:rPr>
        <w:t>Any customer that is being served by a supplier other than DWR and the utility is not causing any costs for DWR or the utility therefore they should not be charged for them.</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numPr>
          <w:ilvl w:val="0"/>
          <w:numId w:val="4"/>
        </w:numPr>
        <w:tabs>
          <w:tab w:val="left" w:pos="720" w:leader="none"/>
        </w:tabs>
        <w:ind w:hanging="360" w:start="720" w:end="0"/>
        <w:rPr>
          <w:b/>
          <w:color w:val="FF0000"/>
        </w:rPr>
      </w:pPr>
      <w:r>
        <w:rPr>
          <w:rFonts w:cs="Helv" w:ascii="Helv" w:hAnsi="Helv"/>
          <w:color w:val="000000"/>
          <w:lang w:eastAsia="en-US"/>
        </w:rPr>
        <w:t>In the event that Px credit is not set based on market value (if the courts interpret the law differently than Enron) then there should be no generation surcharge for DA customers.</w:t>
      </w:r>
    </w:p>
    <w:p>
      <w:pPr>
        <w:pStyle w:val="Normal"/>
        <w:rPr>
          <w:b/>
          <w:color w:val="FF0000"/>
        </w:rPr>
      </w:pPr>
      <w:r>
        <w:rPr>
          <w:b/>
          <w:color w:val="FF0000"/>
        </w:rPr>
      </w:r>
    </w:p>
    <w:p>
      <w:pPr>
        <w:pStyle w:val="Normal"/>
        <w:rPr>
          <w:b/>
        </w:rPr>
      </w:pPr>
      <w:r>
        <w:rPr>
          <w:b/>
        </w:rPr>
        <w:t>IV.</w:t>
        <w:tab/>
      </w:r>
    </w:p>
    <w:p>
      <w:pPr>
        <w:pStyle w:val="Normal"/>
        <w:rPr>
          <w:b/>
        </w:rPr>
      </w:pPr>
      <w:r>
        <w:rPr>
          <w:b/>
        </w:rPr>
      </w:r>
    </w:p>
    <w:p>
      <w:pPr>
        <w:pStyle w:val="Normal"/>
        <w:rPr>
          <w:b/>
        </w:rPr>
      </w:pPr>
      <w:r>
        <w:rPr>
          <w:b/>
        </w:rPr>
        <w:t>Conclusion</w:t>
      </w:r>
    </w:p>
    <w:p>
      <w:pPr>
        <w:pStyle w:val="Normal"/>
        <w:ind w:hanging="720" w:start="2160" w:end="0"/>
        <w:rPr/>
      </w:pPr>
      <w:r>
        <w:rPr/>
        <w:t xml:space="preserve">   </w:t>
      </w:r>
      <w:r>
        <w:rPr/>
        <w:tab/>
        <w:tab/>
      </w:r>
    </w:p>
    <w:p>
      <w:pPr>
        <w:pStyle w:val="Normal"/>
        <w:rPr>
          <w:b/>
        </w:rPr>
      </w:pPr>
      <w:r>
        <w:rPr>
          <w:b/>
        </w:rPr>
        <w:tab/>
      </w:r>
    </w:p>
    <w:p>
      <w:pPr>
        <w:pStyle w:val="Normal"/>
        <w:spacing w:lineRule="exact" w:line="200" w:before="240" w:after="0"/>
        <w:rPr/>
      </w:pPr>
      <w:r>
        <w:rPr>
          <w:rStyle w:val="zzmpTrailerItem"/>
        </w:rPr>
        <w:t>2704/147/X23731-1</w:t>
      </w:r>
      <w:r>
        <w:rPr/>
        <w:t xml:space="preserve"> </w:t>
      </w:r>
    </w:p>
    <w:sectPr>
      <w:headerReference w:type="default" r:id="rId2"/>
      <w:type w:val="nextPage"/>
      <w:pgSz w:w="12240" w:h="15840"/>
      <w:pgMar w:left="1440" w:right="1440" w:gutter="0" w:header="720" w:top="1152"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73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Indent2">
    <w:name w:val="Body Text Indent 2"/>
    <w:basedOn w:val="Normal"/>
    <w:qFormat/>
    <w:pPr>
      <w:spacing w:lineRule="atLeast" w:line="240"/>
      <w:ind w:hanging="0" w:start="1440" w:end="0"/>
    </w:pPr>
    <w:rPr>
      <w:rFonts w:ascii="Helv" w:hAnsi="Helv" w:cs="Helv"/>
      <w:color w:val="000000"/>
      <w:lang w:eastAsia="en-US"/>
    </w:rPr>
  </w:style>
  <w:style w:type="paragraph" w:styleId="BodyTextIndent3">
    <w:name w:val="Body Text Indent 3"/>
    <w:basedOn w:val="Normal"/>
    <w:qFormat/>
    <w:pPr>
      <w:ind w:hanging="720" w:start="2160" w:end="0"/>
    </w:pPr>
    <w:rPr>
      <w:color w:val="0000F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2001-04-23T16:57:00Z</dcterms:created>
  <dc:creator>JMB</dc:creator>
  <dc:description/>
  <dc:language>en-CA</dc:language>
  <cp:lastModifiedBy>sstoness</cp:lastModifiedBy>
  <dcterms:modified xsi:type="dcterms:W3CDTF">2001-04-23T16:57:00Z</dcterms:modified>
  <cp:revision>2</cp:revision>
  <dc:subject/>
  <dc:title>Outline for Enron Energy Services Brief on Rate Design</dc:title>
</cp:coreProperties>
</file>