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Bridgeline Valuation Methodology</w:t>
      </w:r>
    </w:p>
    <w:p>
      <w:pPr>
        <w:pStyle w:val="Normal"/>
        <w:jc w:val="both"/>
        <w:rPr>
          <w:rFonts w:ascii="Arial" w:hAnsi="Arial" w:cs="Arial"/>
          <w:sz w:val="20"/>
        </w:rPr>
      </w:pPr>
      <w:r>
        <w:rPr>
          <w:rFonts w:cs="Arial" w:ascii="Arial" w:hAnsi="Arial"/>
          <w:sz w:val="20"/>
        </w:rPr>
        <w:t>The valuation of ENA’s interest in Bridgeline is based on three different acquisition analyses.  Eighteen comparable asset acquisitions over the past four years were analyzed to calculate purchase price multiples.  All acquisitions were used to calculate last-twelve-months EBITDA multiples, which ranged from 5.3x to 20.8x.  Additionally, all acquisitions which were exclusively storage assets were used to calculate a purchase price/storage capacity multiple ($/Bcf), which ranged from $17.4 to $25.4.  Acquisitions which were predominantly transmission or gathering were used to calculate a purchase price per-mile multiple, which ranged from $105,000 to $224,000 per mile.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Using these multiples allows for two different valuation estimates of Bridgeline.  First, a component valuation strategy valued both the storage and transmission assets separately.  Using the multiples derived above for storage and transmission, the combined value of the Bridgeline segments was estimated at between $324 million and $505 million.  Net to ENA’s 40% ownership, the value is approximately $130 million to $202 million.  Second, using an EBITDA multiple to value Bridgeline gives a value range of $245 million to $490 million, or $98 million to $196 million, net to ENA’s ownership interest.  These value ranges are consistent with the conservative approximation of $100 million to $140 million value net to ENA.</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See attached spreadsheets.</w:t>
      </w:r>
    </w:p>
    <w:p>
      <w:pPr>
        <w:pStyle w:val="Normal"/>
        <w:jc w:val="both"/>
        <w:rPr>
          <w:rFonts w:ascii="Arial" w:hAnsi="Arial" w:cs="Arial"/>
          <w:sz w:val="20"/>
        </w:rPr>
      </w:pPr>
      <w:r>
        <w:rPr>
          <w:rFonts w:cs="Arial" w:ascii="Arial" w:hAnsi="Arial"/>
          <w:sz w:val="20"/>
        </w:rPr>
      </w:r>
    </w:p>
    <w:p>
      <w:pPr>
        <w:pStyle w:val="Heading1"/>
        <w:ind w:hanging="0" w:start="0"/>
        <w:rPr/>
      </w:pPr>
      <w:r>
        <w:rPr/>
        <w:t>Cash Flow Mechanics</w:t>
      </w:r>
    </w:p>
    <w:p>
      <w:pPr>
        <w:pStyle w:val="Normal"/>
        <w:jc w:val="both"/>
        <w:rPr>
          <w:rFonts w:ascii="Arial" w:hAnsi="Arial" w:cs="Arial"/>
          <w:sz w:val="20"/>
        </w:rPr>
      </w:pPr>
      <w:r>
        <w:rPr>
          <w:rFonts w:cs="Arial" w:ascii="Arial" w:hAnsi="Arial"/>
          <w:sz w:val="20"/>
        </w:rPr>
        <w:t>The proposed Pad Gas sale will be structured such that the $3,050,447 in Enron Partner obligations will be netted against the proceeds from the Pad Gas sale.  The balance, estimated at $5,663,501 will be wired at closing from Bridgeline directly to LRCI.  At this time, LRCI can, if so desired, distribute such amounts through EGS to ENA.</w:t>
      </w:r>
    </w:p>
    <w:p>
      <w:pPr>
        <w:pStyle w:val="Normal"/>
        <w:jc w:val="both"/>
        <w:rPr>
          <w:rFonts w:ascii="Arial" w:hAnsi="Arial" w:cs="Arial"/>
          <w:sz w:val="20"/>
        </w:rPr>
      </w:pPr>
      <w:r>
        <w:rPr>
          <w:rFonts w:cs="Arial" w:ascii="Arial" w:hAnsi="Arial"/>
          <w:sz w:val="20"/>
        </w:rPr>
      </w:r>
    </w:p>
    <w:p>
      <w:pPr>
        <w:pStyle w:val="Heading1"/>
        <w:ind w:hanging="0" w:start="0"/>
        <w:rPr/>
      </w:pPr>
      <w:r>
        <w:rPr/>
        <w:t>Obstacles to Cash Flow to ENA</w:t>
      </w:r>
    </w:p>
    <w:p>
      <w:pPr>
        <w:pStyle w:val="Normal"/>
        <w:jc w:val="both"/>
        <w:rPr>
          <w:rFonts w:ascii="Arial" w:hAnsi="Arial" w:cs="Arial"/>
          <w:sz w:val="20"/>
        </w:rPr>
      </w:pPr>
      <w:r>
        <w:rPr>
          <w:rFonts w:cs="Arial" w:ascii="Arial" w:hAnsi="Arial"/>
          <w:sz w:val="20"/>
        </w:rPr>
        <w:t>There are no known creditors or other debt instruments in place which would hinder cash from either the Pad Gas sale or an outright sale of ENA’s ownership in Bridgeline from flowing to ENA.</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bCs/>
      <w:sz w:val="20"/>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2002-01-30T18:31:00Z</dcterms:created>
  <dc:creator>jhoff2</dc:creator>
  <dc:description/>
  <dc:language>en-CA</dc:language>
  <cp:lastModifiedBy>jhoff2</cp:lastModifiedBy>
  <cp:lastPrinted>2002-01-30T16:24:00Z</cp:lastPrinted>
  <dcterms:modified xsi:type="dcterms:W3CDTF">2002-01-31T20:22:00Z</dcterms:modified>
  <cp:revision>2</cp:revision>
  <dc:subject/>
  <dc:title>Bridgeline Valuation Methodology</dc:title>
</cp:coreProperties>
</file>