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bCs/>
          <w:u w:val="single"/>
        </w:rPr>
      </w:pPr>
      <w:r>
        <w:rPr>
          <w:b/>
          <w:bCs/>
          <w:u w:val="single"/>
        </w:rPr>
        <w:t>Cash Use Approval Request</w:t>
      </w:r>
    </w:p>
    <w:p>
      <w:pPr>
        <w:pStyle w:val="Normal"/>
        <w:rPr>
          <w:b/>
          <w:bCs/>
          <w:u w:val="single"/>
        </w:rPr>
      </w:pPr>
      <w:r>
        <w:rPr>
          <w:b/>
          <w:bCs/>
          <w:u w:val="single"/>
        </w:rPr>
      </w:r>
    </w:p>
    <w:p>
      <w:pPr>
        <w:pStyle w:val="Normal"/>
        <w:rPr/>
      </w:pPr>
      <w:r>
        <w:rPr/>
      </w:r>
    </w:p>
    <w:p>
      <w:pPr>
        <w:pStyle w:val="Normal"/>
        <w:rPr/>
      </w:pPr>
      <w:r>
        <w:rPr/>
        <w:t>Project Name:</w:t>
        <w:tab/>
        <w:tab/>
        <w:tab/>
        <w:tab/>
        <w:tab/>
        <w:t>Bridgeline</w:t>
      </w:r>
    </w:p>
    <w:p>
      <w:pPr>
        <w:pStyle w:val="Normal"/>
        <w:rPr/>
      </w:pPr>
      <w:r>
        <w:rPr/>
        <w:t>Commercial Contact:</w:t>
        <w:tab/>
        <w:tab/>
        <w:tab/>
        <w:tab/>
        <w:t>Stuart Zisman / Brian Redmond</w:t>
      </w:r>
    </w:p>
    <w:p>
      <w:pPr>
        <w:pStyle w:val="Normal"/>
        <w:rPr/>
      </w:pPr>
      <w:r>
        <w:rPr/>
        <w:t>Accounting Contact:</w:t>
        <w:tab/>
        <w:tab/>
        <w:tab/>
        <w:tab/>
        <w:t>Jim Coffey</w:t>
      </w:r>
    </w:p>
    <w:p>
      <w:pPr>
        <w:pStyle w:val="Normal"/>
        <w:rPr/>
      </w:pPr>
      <w:r>
        <w:rPr/>
        <w:t xml:space="preserve">Underwriting Contact: </w:t>
        <w:tab/>
        <w:tab/>
        <w:tab/>
        <w:t>Chip Schneider</w:t>
      </w:r>
    </w:p>
    <w:p>
      <w:pPr>
        <w:pStyle w:val="Normal"/>
        <w:rPr/>
      </w:pPr>
      <w:r>
        <w:rPr/>
        <w:t>Entity:</w:t>
        <w:tab/>
        <w:tab/>
        <w:tab/>
        <w:tab/>
        <w:tab/>
        <w:tab/>
        <w:t>The Enron Partners (as defined below)</w:t>
      </w:r>
    </w:p>
    <w:p>
      <w:pPr>
        <w:pStyle w:val="Normal"/>
        <w:rPr/>
      </w:pPr>
      <w:r>
        <w:rPr/>
        <w:t xml:space="preserve">   </w:t>
      </w:r>
      <w:r>
        <w:rPr/>
        <w:t>(currently in Bankruptcy? Y/N):</w:t>
        <w:tab/>
        <w:tab/>
        <w:t>No</w:t>
      </w:r>
    </w:p>
    <w:p>
      <w:pPr>
        <w:pStyle w:val="Normal"/>
        <w:rPr/>
      </w:pPr>
      <w:r>
        <w:rPr/>
        <w:t>Amount of Request:</w:t>
        <w:tab/>
        <w:tab/>
        <w:tab/>
        <w:tab/>
        <w:t>$100,000</w:t>
      </w:r>
    </w:p>
    <w:p>
      <w:pPr>
        <w:pStyle w:val="Normal"/>
        <w:rPr/>
      </w:pPr>
      <w:r>
        <w:rPr/>
        <w:t>Date of Request:</w:t>
        <w:tab/>
        <w:tab/>
        <w:tab/>
        <w:tab/>
        <w:t>01/25/02</w:t>
      </w:r>
    </w:p>
    <w:p>
      <w:pPr>
        <w:pStyle w:val="Normal"/>
        <w:rPr/>
      </w:pPr>
      <w:r>
        <w:rPr/>
        <w:t>Date of Payment:</w:t>
        <w:tab/>
        <w:tab/>
        <w:tab/>
        <w:tab/>
        <w:t>TBD</w:t>
      </w:r>
    </w:p>
    <w:p>
      <w:pPr>
        <w:pStyle w:val="Header"/>
        <w:tabs>
          <w:tab w:val="clear" w:pos="4320"/>
          <w:tab w:val="clear" w:pos="8640"/>
        </w:tabs>
        <w:rPr/>
      </w:pPr>
      <w:r>
        <w:rPr/>
        <w:t>Source of Funds:</w:t>
        <w:tab/>
        <w:tab/>
        <w:tab/>
        <w:tab/>
        <w:t>The Enron Partners cash account assuming</w:t>
      </w:r>
    </w:p>
    <w:p>
      <w:pPr>
        <w:pStyle w:val="Normal"/>
        <w:ind w:firstLine="720" w:start="3600" w:end="0"/>
        <w:rPr/>
      </w:pPr>
      <w:r>
        <w:rPr/>
        <w:t>pad gas sale (submitted simultaneous with</w:t>
      </w:r>
    </w:p>
    <w:p>
      <w:pPr>
        <w:pStyle w:val="Normal"/>
        <w:ind w:firstLine="720" w:start="3600" w:end="0"/>
        <w:rPr>
          <w:sz w:val="20"/>
        </w:rPr>
      </w:pPr>
      <w:r>
        <w:rPr/>
        <w:t xml:space="preserve">this request) is approved </w:t>
      </w:r>
    </w:p>
    <w:p>
      <w:pPr>
        <w:pStyle w:val="Normal"/>
        <w:rPr/>
      </w:pPr>
      <w:r>
        <w:rPr/>
        <w:t>Payee:</w:t>
        <w:tab/>
        <w:tab/>
        <w:tab/>
        <w:tab/>
        <w:tab/>
        <w:tab/>
        <w:t>Outside Counsel (TBD)</w:t>
      </w:r>
    </w:p>
    <w:p>
      <w:pPr>
        <w:pStyle w:val="Normal"/>
        <w:rPr/>
      </w:pPr>
      <w:r>
        <w:rPr/>
        <w:t>Obligation (Pre/Post-petition):</w:t>
        <w:tab/>
        <w:tab/>
        <w:t>Post-petition</w:t>
      </w:r>
    </w:p>
    <w:p>
      <w:pPr>
        <w:pStyle w:val="Normal"/>
        <w:rPr/>
      </w:pPr>
      <w:r>
        <w:rPr/>
        <w:t>Wiring Instructions:</w:t>
        <w:tab/>
        <w:tab/>
        <w:tab/>
        <w:tab/>
        <w:t>NA</w:t>
      </w:r>
    </w:p>
    <w:p>
      <w:pPr>
        <w:pStyle w:val="Normal"/>
        <w:rPr/>
      </w:pPr>
      <w:r>
        <w:rPr/>
        <w:tab/>
        <w:t>Bank Name:</w:t>
      </w:r>
    </w:p>
    <w:p>
      <w:pPr>
        <w:pStyle w:val="Normal"/>
        <w:rPr/>
      </w:pPr>
      <w:r>
        <w:rPr/>
        <w:tab/>
        <w:t>ABA Number:</w:t>
      </w:r>
    </w:p>
    <w:p>
      <w:pPr>
        <w:pStyle w:val="Normal"/>
        <w:rPr/>
      </w:pPr>
      <w:r>
        <w:rPr/>
        <w:tab/>
        <w:t>Account Number:</w:t>
      </w:r>
    </w:p>
    <w:p>
      <w:pPr>
        <w:pStyle w:val="Normal"/>
        <w:rPr/>
      </w:pPr>
      <w:r>
        <w:rPr/>
        <w:tab/>
        <w:t>For benefit of:</w:t>
      </w:r>
    </w:p>
    <w:p>
      <w:pPr>
        <w:pStyle w:val="Normal"/>
        <w:rPr/>
      </w:pPr>
      <w:r>
        <w:rPr/>
      </w:r>
    </w:p>
    <w:p>
      <w:pPr>
        <w:pStyle w:val="Heading1"/>
        <w:ind w:hanging="0" w:start="0"/>
        <w:rPr/>
      </w:pPr>
      <w:r>
        <w:rPr/>
        <w:t>Business Purpose</w:t>
      </w:r>
    </w:p>
    <w:p>
      <w:pPr>
        <w:pStyle w:val="BodyText"/>
        <w:rPr/>
      </w:pPr>
      <w:r>
        <w:rPr/>
      </w:r>
    </w:p>
    <w:p>
      <w:pPr>
        <w:pStyle w:val="BodyText"/>
        <w:rPr>
          <w:sz w:val="24"/>
        </w:rPr>
      </w:pPr>
      <w:r>
        <w:rPr>
          <w:sz w:val="24"/>
        </w:rPr>
        <w:t>Bridgeline Holdings, LP (“Bridgeline”) is a limited partnership that was formed between Enron North America Corp. (“ENA”) and Texaco Exploration &amp; Production Inc. (“TEPI”) in order to aggregate various pipelines and storage caverns in Louisiana.  ENA holds a 40% ownership interest in Bridgeline through four indirect subsidiaries that are wholly owned by EGS New Ventures Corp., which is in turn wholly owned by ENA.  Those four subsidiaries are Louisiana Resources Company; LRCI, Inc.; Louisiana Gas Marketing Company; and LGMI, Inc. (collectively, the “Enron Partners”)</w:t>
      </w:r>
    </w:p>
    <w:p>
      <w:pPr>
        <w:pStyle w:val="Normal"/>
        <w:autoSpaceDE w:val="false"/>
        <w:rPr>
          <w:sz w:val="24"/>
        </w:rPr>
      </w:pPr>
      <w:r>
        <w:rPr>
          <w:sz w:val="24"/>
        </w:rPr>
      </w:r>
    </w:p>
    <w:p>
      <w:pPr>
        <w:pStyle w:val="BodyText"/>
        <w:rPr>
          <w:szCs w:val="20"/>
        </w:rPr>
      </w:pPr>
      <w:r>
        <w:rPr>
          <w:sz w:val="24"/>
          <w:szCs w:val="20"/>
        </w:rPr>
        <w:t>A dispute exists between the Enron Partners and TEPI concerning TEPI’s obligations under the Partnership Agreement.  Arbitration proceedings have commenced between the Enron Partners and TEPI concerning TEPI’s obligations under the Partnership Agreement.  In accordance with the Partnership Agreement, TEPI was required to contribute a natural gas storage cavern located in Louisiana (“Sorrento II”).  The issues being arbitrated relate to a disagreement amongst the parties as to (i) the size of the Sorrento II storage cavern that was contributed by TEPI to Bridgeline and (ii) the timing of working gas injections into Sorrento II by TEPI.  TEPI was obligated to contribute a storage cavern which had a minimum capacity of not less than 3.0 BCF of working gas injected into the cavern no later than March 1, 2000.  Enron’s contention (supported by Bridgeline) is that the maximum working gas capacity of the cavern is less than 3.0 BCF.  TEPI’s position with respect to item (ii) above is that pad gas and working gas are injected coincidentally such that for every Mcf of gas injected, one half of that amount is working gas and the other is pad gas.  Such position mitigates TEPI’s liability for penalties for not providing working gas by certain dates as required by the Partnership Agreement.  Enron’s contention (also supported by Bridgeline) is that all the pad gas must be injected prior to any working gas being injected into Sorrento II.  This is standard industry practice and the approach being taken by the Enron Partners with respect to the Napoleonville Cavern</w:t>
      </w:r>
    </w:p>
    <w:p>
      <w:pPr>
        <w:pStyle w:val="BodyText"/>
        <w:rPr>
          <w:szCs w:val="20"/>
        </w:rPr>
      </w:pPr>
      <w:r>
        <w:rPr>
          <w:szCs w:val="20"/>
        </w:rPr>
      </w:r>
    </w:p>
    <w:p>
      <w:pPr>
        <w:pStyle w:val="Normal"/>
        <w:ind w:start="360" w:end="0"/>
        <w:rPr>
          <w:szCs w:val="20"/>
        </w:rPr>
      </w:pPr>
      <w:r>
        <w:rPr>
          <w:szCs w:val="20"/>
        </w:rPr>
      </w:r>
    </w:p>
    <w:p>
      <w:pPr>
        <w:pStyle w:val="Heading1"/>
        <w:ind w:hanging="0" w:start="0"/>
        <w:rPr/>
      </w:pPr>
      <w:r>
        <w:rPr/>
        <w:t>Economic Justification</w:t>
      </w:r>
    </w:p>
    <w:p>
      <w:pPr>
        <w:pStyle w:val="BodyText"/>
        <w:rPr>
          <w:sz w:val="24"/>
          <w:szCs w:val="20"/>
        </w:rPr>
      </w:pPr>
      <w:r>
        <w:rPr>
          <w:sz w:val="24"/>
          <w:szCs w:val="20"/>
        </w:rPr>
        <w:t>Pursuant to the memorandum that was prepared by Andy Edison (internal counsel for Enron), the amount in question is likely to be between $2-5MM.  External counsel handling the claim has expressed its belief that the Enron Partners have a 70% or better chance of collecting.  The estimated cost of completing the arbitration is approximately $100,000.  Any proceeds payable by TEPI as a result of the arbitration would be paid directly to Bridgeline and therefore the Enron Partners would benefit by 40% of that amount.</w:t>
      </w:r>
    </w:p>
    <w:p>
      <w:pPr>
        <w:pStyle w:val="Normal"/>
        <w:rPr>
          <w:sz w:val="24"/>
          <w:szCs w:val="20"/>
        </w:rPr>
      </w:pPr>
      <w:r>
        <w:rPr>
          <w:sz w:val="24"/>
          <w:szCs w:val="20"/>
        </w:rPr>
      </w:r>
    </w:p>
    <w:p>
      <w:pPr>
        <w:pStyle w:val="Heading1"/>
        <w:ind w:hanging="0" w:start="0"/>
        <w:rPr/>
      </w:pPr>
      <w:r>
        <w:rPr/>
        <w:t>Risks</w:t>
      </w:r>
    </w:p>
    <w:p>
      <w:pPr>
        <w:pStyle w:val="Normal"/>
        <w:numPr>
          <w:ilvl w:val="0"/>
          <w:numId w:val="2"/>
        </w:numPr>
        <w:rPr/>
      </w:pPr>
      <w:r>
        <w:rPr/>
        <w:t>Estimated $100,000 cost to litigate.  Worst case is $0 damages awarded.  Limited risk of counterclaim.</w:t>
      </w:r>
    </w:p>
    <w:p>
      <w:pPr>
        <w:pStyle w:val="Normal"/>
        <w:rPr/>
      </w:pPr>
      <w:r>
        <w:rPr/>
      </w:r>
    </w:p>
    <w:p>
      <w:pPr>
        <w:pStyle w:val="Heading1"/>
        <w:ind w:hanging="0" w:start="0"/>
        <w:rPr/>
      </w:pPr>
      <w:r>
        <w:rPr/>
        <w:t>Action Item</w:t>
      </w:r>
    </w:p>
    <w:p>
      <w:pPr>
        <w:pStyle w:val="Normal"/>
        <w:numPr>
          <w:ilvl w:val="0"/>
          <w:numId w:val="2"/>
        </w:numPr>
        <w:rPr/>
      </w:pPr>
      <w:r>
        <w:rPr/>
        <w:t>BMC Approval</w:t>
      </w:r>
    </w:p>
    <w:p>
      <w:pPr>
        <w:pStyle w:val="Normal"/>
        <w:rPr/>
      </w:pPr>
      <w:r>
        <w:rPr/>
      </w:r>
    </w:p>
    <w:p>
      <w:pPr>
        <w:pStyle w:val="Normal"/>
        <w:rPr/>
      </w:pPr>
      <w:r>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Approved by:_______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sz w:val="28"/>
    </w:rPr>
  </w:style>
  <w:style w:type="paragraph" w:styleId="BodyText">
    <w:name w:val="Body Text"/>
    <w:basedOn w:val="Normal"/>
    <w:pPr>
      <w:autoSpaceDE w:val="false"/>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2002-01-24T19:08:00Z</dcterms:created>
  <dc:creator>cschneid</dc:creator>
  <dc:description/>
  <dc:language>en-CA</dc:language>
  <cp:lastModifiedBy>cmeyer</cp:lastModifiedBy>
  <cp:lastPrinted>2002-01-24T15:02:00Z</cp:lastPrinted>
  <dcterms:modified xsi:type="dcterms:W3CDTF">2002-01-24T19:08:00Z</dcterms:modified>
  <cp:revision>2</cp:revision>
  <dc:subject/>
  <dc:title>Cash Use Approval Request</dc:title>
</cp:coreProperties>
</file>