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Bridgeline Holding Limited Partnership (BHLP)</w:t>
      </w:r>
    </w:p>
    <w:p>
      <w:pPr>
        <w:pStyle w:val="Normal"/>
        <w:jc w:val="both"/>
        <w:rPr>
          <w:rFonts w:ascii="Arial" w:hAnsi="Arial" w:cs="Arial"/>
        </w:rPr>
      </w:pPr>
      <w:r>
        <w:rPr>
          <w:rFonts w:cs="Arial" w:ascii="Arial" w:hAnsi="Arial"/>
        </w:rPr>
      </w:r>
    </w:p>
    <w:p>
      <w:pPr>
        <w:pStyle w:val="Normal"/>
        <w:ind w:hanging="2160" w:start="2160" w:end="0"/>
        <w:rPr/>
      </w:pPr>
      <w:r>
        <w:rPr>
          <w:rFonts w:cs="Arial" w:ascii="Arial" w:hAnsi="Arial"/>
        </w:rPr>
        <w:t>Description:</w:t>
        <w:tab/>
        <w:t>Joint venture with Texaco, Enron has a forty percent interest.  BHLP consists of Louisiana Resources Pipeline Company (LRC) coupled with Texaco’s Bridgeline system.</w:t>
        <w:tab/>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BodyTextIndent2"/>
        <w:rPr/>
      </w:pPr>
      <w:r>
        <w:rPr/>
        <w:t xml:space="preserve">Status:  </w:t>
        <w:tab/>
        <w:t>Jean Mrha and Brian Redmond are on the Board of Directors.  The Board consists of two Enron and two Texaco representatives.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 xml:space="preserve">ENA </w:t>
      </w:r>
    </w:p>
    <w:p>
      <w:pPr>
        <w:pStyle w:val="Normal"/>
        <w:ind w:hanging="2160" w:start="2160" w:end="0"/>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Strategy:  </w:t>
        <w:tab/>
        <w:t>Sell to a third party. Enron would like to monetize its forty percent interest in this joint venture.  Per closing partnership documents, Enron is limited from diluting its equity until March 2002.  However, efforts will begin during late summer to identify potential, interested buyers.</w:t>
      </w:r>
    </w:p>
    <w:p>
      <w:pPr>
        <w:pStyle w:val="Normal"/>
        <w:jc w:val="both"/>
        <w:rPr>
          <w:rFonts w:ascii="Arial" w:hAnsi="Arial" w:cs="Arial"/>
        </w:rPr>
      </w:pPr>
      <w:r>
        <w:rPr>
          <w:rFonts w:cs="Arial" w:ascii="Arial" w:hAnsi="Arial"/>
        </w:rPr>
      </w:r>
    </w:p>
    <w:p>
      <w:pPr>
        <w:pStyle w:val="BodyTextIndent"/>
        <w:rPr/>
      </w:pPr>
      <w:r>
        <w:rPr/>
        <w:t xml:space="preserve">Rationale:  </w:t>
        <w:tab/>
        <w:t>Low return on capital with limited growth upside.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$ 245.3 MM</w:t>
      </w:r>
    </w:p>
    <w:p>
      <w:pPr>
        <w:pStyle w:val="Normal"/>
        <w:jc w:val="both"/>
        <w:rPr>
          <w:rFonts w:ascii="Arial" w:hAnsi="Arial" w:cs="Arial"/>
        </w:rPr>
      </w:pPr>
      <w:r>
        <w:rPr>
          <w:rFonts w:cs="Arial" w:ascii="Arial" w:hAnsi="Arial"/>
        </w:rPr>
      </w:r>
    </w:p>
    <w:p>
      <w:pPr>
        <w:pStyle w:val="BodyTextIndent"/>
        <w:rPr>
          <w:rFonts w:cs="Times New Roman"/>
        </w:rPr>
      </w:pPr>
      <w:r>
        <w:rPr>
          <w:rFonts w:cs="Times New Roman"/>
        </w:rPr>
        <w:t>Work orders:</w:t>
        <w:tab/>
        <w:t>$ 3.57 MM outstanding -- satisfies Enron’s capital contribution to partnership.</w:t>
      </w:r>
    </w:p>
    <w:p>
      <w:pPr>
        <w:pStyle w:val="Normal"/>
        <w:jc w:val="both"/>
        <w:rPr>
          <w:rFonts w:ascii="Arial" w:hAnsi="Arial" w:cs="Arial"/>
        </w:rPr>
      </w:pPr>
      <w:r>
        <w:rPr>
          <w:rFonts w:cs="Arial" w:ascii="Arial" w:hAnsi="Arial"/>
        </w:rPr>
        <w:tab/>
        <w:tab/>
      </w:r>
    </w:p>
    <w:p>
      <w:pPr>
        <w:pStyle w:val="BodyTextIndent"/>
        <w:rPr/>
      </w:pPr>
      <w:r>
        <w:rPr/>
        <w:t xml:space="preserve">Treatment:  </w:t>
        <w:tab/>
        <w:t>Balance Sheet</w:t>
      </w:r>
    </w:p>
    <w:p>
      <w:pPr>
        <w:pStyle w:val="BodyTextIndent"/>
        <w:rPr/>
      </w:pPr>
      <w:r>
        <w:rPr/>
      </w:r>
    </w:p>
    <w:p>
      <w:pPr>
        <w:pStyle w:val="BodyTextIndent"/>
        <w:rPr/>
      </w:pPr>
      <w:r>
        <w:rPr/>
        <w:t>Capital Charges:</w:t>
        <w:tab/>
        <w:t>Bridgeline Plan</w:t>
      </w:r>
    </w:p>
    <w:p>
      <w:pPr>
        <w:pStyle w:val="BodyTextIndent"/>
        <w:rPr/>
      </w:pPr>
      <w:r>
        <w:rPr/>
      </w:r>
    </w:p>
    <w:p>
      <w:pPr>
        <w:pStyle w:val="BodyTextIndent"/>
        <w:ind w:hanging="0" w:start="0" w:end="0"/>
        <w:rPr/>
      </w:pPr>
      <w:r>
        <w:rPr/>
      </w:r>
      <w:r>
        <w:br w:type="page"/>
      </w:r>
    </w:p>
    <w:p>
      <w:pPr>
        <w:pStyle w:val="Normal"/>
        <w:jc w:val="both"/>
        <w:rPr>
          <w:rFonts w:ascii="Arial" w:hAnsi="Arial" w:cs="Arial"/>
          <w:sz w:val="16"/>
        </w:rPr>
      </w:pPr>
      <w:r>
        <w:rPr>
          <w:rFonts w:cs="Arial" w:ascii="Arial" w:hAnsi="Arial"/>
          <w:sz w:val="16"/>
        </w:rPr>
      </w:r>
    </w:p>
    <w:p>
      <w:pPr>
        <w:pStyle w:val="Normal"/>
        <w:jc w:val="both"/>
        <w:rPr>
          <w:rFonts w:ascii="Arial" w:hAnsi="Arial" w:cs="Arial"/>
          <w:sz w:val="16"/>
        </w:rPr>
      </w:pPr>
      <w:r>
        <w:rPr>
          <w:rFonts w:cs="Arial" w:ascii="Arial" w:hAnsi="Arial"/>
          <w:sz w:val="16"/>
        </w:rPr>
      </w:r>
    </w:p>
    <w:p>
      <w:pPr>
        <w:pStyle w:val="Heading1"/>
        <w:ind w:hanging="0" w:start="0"/>
        <w:rPr>
          <w:rFonts w:ascii="Arial" w:hAnsi="Arial" w:cs="Arial"/>
        </w:rPr>
      </w:pPr>
      <w:r>
        <w:rPr>
          <w:rFonts w:cs="Arial" w:ascii="Arial" w:hAnsi="Arial"/>
        </w:rPr>
        <w:t>Louisiana Assets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Description:</w:t>
        <w:tab/>
        <w:t>Melba Clark Lateral (crude pipeline), Calcasieu Terminal (crude handling), general plant.</w:t>
      </w:r>
    </w:p>
    <w:p>
      <w:pPr>
        <w:pStyle w:val="Normal"/>
        <w:jc w:val="both"/>
        <w:rPr>
          <w:rFonts w:ascii="Arial" w:hAnsi="Arial" w:cs="Arial"/>
        </w:rPr>
      </w:pPr>
      <w:r>
        <w:rPr>
          <w:rFonts w:cs="Arial" w:ascii="Arial" w:hAnsi="Arial"/>
        </w:rPr>
      </w:r>
    </w:p>
    <w:p>
      <w:pPr>
        <w:pStyle w:val="BodyTextIndent"/>
        <w:rPr/>
      </w:pPr>
      <w:r>
        <w:rPr/>
        <w:t xml:space="preserve">Status:  </w:t>
        <w:tab/>
        <w:t>Currently leased to EGM.</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Sell to a third party</w:t>
      </w:r>
    </w:p>
    <w:p>
      <w:pPr>
        <w:pStyle w:val="Normal"/>
        <w:jc w:val="both"/>
        <w:rPr>
          <w:rFonts w:ascii="Arial" w:hAnsi="Arial" w:cs="Arial"/>
        </w:rPr>
      </w:pPr>
      <w:r>
        <w:rPr>
          <w:rFonts w:cs="Arial" w:ascii="Arial" w:hAnsi="Arial"/>
        </w:rPr>
      </w:r>
    </w:p>
    <w:p>
      <w:pPr>
        <w:pStyle w:val="BodyTextIndent"/>
        <w:rPr/>
      </w:pPr>
      <w:r>
        <w:rPr/>
        <w:t xml:space="preserve">Rationale:  </w:t>
        <w:tab/>
        <w:t>Low return on capital with limited growth upside.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$0.8MM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None.</w:t>
      </w:r>
    </w:p>
    <w:p>
      <w:pPr>
        <w:pStyle w:val="Normal"/>
        <w:jc w:val="both"/>
        <w:rPr>
          <w:rFonts w:ascii="Arial" w:hAnsi="Arial" w:cs="Arial"/>
        </w:rPr>
      </w:pPr>
      <w:r>
        <w:rPr>
          <w:rFonts w:cs="Arial" w:ascii="Arial" w:hAnsi="Arial"/>
        </w:rPr>
      </w:r>
    </w:p>
    <w:p>
      <w:pPr>
        <w:pStyle w:val="BodyTextIndent"/>
        <w:rPr/>
      </w:pPr>
      <w:r>
        <w:rPr/>
        <w:t xml:space="preserve">Treatment:  </w:t>
        <w:tab/>
        <w:t>Balance Sheet</w:t>
      </w:r>
    </w:p>
    <w:p>
      <w:pPr>
        <w:pStyle w:val="BodyTextIndent"/>
        <w:rPr/>
      </w:pPr>
      <w:r>
        <w:rPr/>
      </w:r>
    </w:p>
    <w:p>
      <w:pPr>
        <w:pStyle w:val="BodyTextIndent"/>
        <w:rPr/>
      </w:pPr>
      <w:r>
        <w:rPr/>
        <w:t>Capital Charges:</w:t>
        <w:tab/>
        <w:t>Bridgeline Plan</w:t>
      </w:r>
      <w:r>
        <w:br w:type="page"/>
      </w:r>
    </w:p>
    <w:p>
      <w:pPr>
        <w:pStyle w:val="Heading1"/>
        <w:ind w:hanging="0" w:start="0"/>
        <w:rPr>
          <w:rFonts w:ascii="Arial" w:hAnsi="Arial" w:cs="Arial"/>
        </w:rPr>
      </w:pPr>
      <w:r>
        <w:rPr>
          <w:rFonts w:cs="Arial" w:ascii="Arial" w:hAnsi="Arial"/>
        </w:rPr>
        <w:t>Napoleonville Assets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Description:</w:t>
        <w:tab/>
        <w:t>Cushion gas (3.9 BCF), land (334 Acres) and linepack at the Napoleonville Storage facility.</w:t>
      </w:r>
    </w:p>
    <w:p>
      <w:pPr>
        <w:pStyle w:val="Normal"/>
        <w:jc w:val="both"/>
        <w:rPr>
          <w:rFonts w:ascii="Arial" w:hAnsi="Arial" w:cs="Arial"/>
        </w:rPr>
      </w:pPr>
      <w:r>
        <w:rPr>
          <w:rFonts w:cs="Arial" w:ascii="Arial" w:hAnsi="Arial"/>
        </w:rPr>
      </w:r>
    </w:p>
    <w:p>
      <w:pPr>
        <w:pStyle w:val="BodyTextIndent"/>
        <w:rPr/>
      </w:pPr>
      <w:r>
        <w:rPr/>
        <w:t xml:space="preserve">Status:  </w:t>
        <w:tab/>
        <w:t>Cushion gas and linepack will be released once new cavern in built and contributed to Bridgline.   Cushion gas position (2.9 of 3.9 BCF) has been monetized.</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Sell land to a third party.  Sell gas to market.</w:t>
      </w:r>
    </w:p>
    <w:p>
      <w:pPr>
        <w:pStyle w:val="Normal"/>
        <w:jc w:val="both"/>
        <w:rPr>
          <w:rFonts w:ascii="Arial" w:hAnsi="Arial" w:cs="Arial"/>
        </w:rPr>
      </w:pPr>
      <w:r>
        <w:rPr>
          <w:rFonts w:cs="Arial" w:ascii="Arial" w:hAnsi="Arial"/>
        </w:rPr>
      </w:r>
    </w:p>
    <w:p>
      <w:pPr>
        <w:pStyle w:val="BodyTextIndent"/>
        <w:rPr/>
      </w:pPr>
      <w:r>
        <w:rPr/>
        <w:t xml:space="preserve">Rationale:  </w:t>
        <w:tab/>
        <w:t>Non-strategic.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$10.5 MM</w:t>
      </w:r>
    </w:p>
    <w:p>
      <w:pPr>
        <w:pStyle w:val="Normal"/>
        <w:jc w:val="both"/>
        <w:rPr>
          <w:rFonts w:ascii="Arial" w:hAnsi="Arial" w:cs="Arial"/>
        </w:rPr>
      </w:pPr>
      <w:r>
        <w:rPr>
          <w:rFonts w:cs="Arial" w:ascii="Arial" w:hAnsi="Arial"/>
        </w:rPr>
      </w:r>
    </w:p>
    <w:p>
      <w:pPr>
        <w:pStyle w:val="BodyTextIndent"/>
        <w:rPr>
          <w:rFonts w:cs="Times New Roman"/>
        </w:rPr>
      </w:pPr>
      <w:r>
        <w:rPr>
          <w:rFonts w:cs="Times New Roman"/>
        </w:rPr>
        <w:t>Work orders:</w:t>
        <w:tab/>
        <w:t>$.94 MM – to withdraw cushion gas. Covered by Schedule C prudence.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None.</w:t>
      </w:r>
    </w:p>
    <w:p>
      <w:pPr>
        <w:pStyle w:val="Normal"/>
        <w:jc w:val="both"/>
        <w:rPr>
          <w:rFonts w:ascii="Arial" w:hAnsi="Arial" w:cs="Arial"/>
        </w:rPr>
      </w:pPr>
      <w:r>
        <w:rPr>
          <w:rFonts w:cs="Arial" w:ascii="Arial" w:hAnsi="Arial"/>
        </w:rPr>
      </w:r>
    </w:p>
    <w:p>
      <w:pPr>
        <w:pStyle w:val="BodyTextIndent"/>
        <w:rPr/>
      </w:pPr>
      <w:r>
        <w:rPr/>
        <w:t>Treatment:</w:t>
        <w:tab/>
        <w:t>Balance Sheet</w:t>
      </w:r>
    </w:p>
    <w:p>
      <w:pPr>
        <w:pStyle w:val="BodyTextIndent"/>
        <w:rPr/>
      </w:pPr>
      <w:r>
        <w:rPr/>
      </w:r>
    </w:p>
    <w:p>
      <w:pPr>
        <w:pStyle w:val="BodyTextIndent"/>
        <w:rPr/>
      </w:pPr>
      <w:r>
        <w:rPr/>
        <w:t>Capital Charges:</w:t>
        <w:tab/>
        <w:t>Bridgeline Plan</w:t>
      </w:r>
      <w:r>
        <w:br w:type="page"/>
      </w:r>
    </w:p>
    <w:p>
      <w:pPr>
        <w:pStyle w:val="BodyTextIndent"/>
        <w:ind w:hanging="0" w:start="0" w:end="0"/>
        <w:rPr>
          <w:b/>
        </w:rPr>
      </w:pPr>
      <w:r>
        <w:rPr>
          <w:b/>
        </w:rPr>
        <w:t>Crawfish Processing Plant</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Description:</w:t>
        <w:tab/>
        <w:t>120 mmcfd processing plant in Louisiana connected to Bridgeline.</w:t>
      </w:r>
    </w:p>
    <w:p>
      <w:pPr>
        <w:pStyle w:val="Normal"/>
        <w:jc w:val="both"/>
        <w:rPr>
          <w:rFonts w:ascii="Arial" w:hAnsi="Arial" w:cs="Arial"/>
        </w:rPr>
      </w:pPr>
      <w:r>
        <w:rPr>
          <w:rFonts w:cs="Arial" w:ascii="Arial" w:hAnsi="Arial"/>
        </w:rPr>
      </w:r>
    </w:p>
    <w:p>
      <w:pPr>
        <w:pStyle w:val="BodyTextIndent"/>
        <w:rPr/>
      </w:pPr>
      <w:r>
        <w:rPr/>
        <w:t xml:space="preserve">Status:  </w:t>
        <w:tab/>
        <w:t>Currently shut down.</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Sell for scrap.</w:t>
      </w:r>
    </w:p>
    <w:p>
      <w:pPr>
        <w:pStyle w:val="Normal"/>
        <w:jc w:val="both"/>
        <w:rPr>
          <w:rFonts w:ascii="Arial" w:hAnsi="Arial" w:cs="Arial"/>
        </w:rPr>
      </w:pPr>
      <w:r>
        <w:rPr>
          <w:rFonts w:cs="Arial" w:ascii="Arial" w:hAnsi="Arial"/>
        </w:rPr>
      </w:r>
    </w:p>
    <w:p>
      <w:pPr>
        <w:pStyle w:val="BodyTextIndent"/>
        <w:rPr/>
      </w:pPr>
      <w:r>
        <w:rPr/>
        <w:t xml:space="preserve">Rationale:  </w:t>
        <w:tab/>
        <w:t>Non-economic.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$1.3MM book value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$1.0 MM</w:t>
      </w:r>
    </w:p>
    <w:p>
      <w:pPr>
        <w:pStyle w:val="Normal"/>
        <w:jc w:val="both"/>
        <w:rPr>
          <w:rFonts w:ascii="Arial" w:hAnsi="Arial" w:cs="Arial"/>
        </w:rPr>
      </w:pPr>
      <w:r>
        <w:rPr>
          <w:rFonts w:cs="Arial" w:ascii="Arial" w:hAnsi="Arial"/>
        </w:rPr>
      </w:r>
    </w:p>
    <w:p>
      <w:pPr>
        <w:pStyle w:val="BodyTextIndent"/>
        <w:rPr/>
      </w:pPr>
      <w:r>
        <w:rPr/>
        <w:t xml:space="preserve">Treatment:  </w:t>
        <w:tab/>
        <w:t>Balance Sheet</w:t>
      </w:r>
    </w:p>
    <w:p>
      <w:pPr>
        <w:pStyle w:val="BodyTextIndent"/>
        <w:rPr/>
      </w:pPr>
      <w:r>
        <w:rPr/>
      </w:r>
    </w:p>
    <w:p>
      <w:pPr>
        <w:pStyle w:val="BodyTextIndent"/>
        <w:rPr/>
      </w:pPr>
      <w:r>
        <w:rPr/>
        <w:t>Capital Charges:</w:t>
        <w:tab/>
        <w:t>Bridgeline Plan</w:t>
      </w:r>
      <w:r>
        <w:br w:type="page"/>
      </w:r>
    </w:p>
    <w:p>
      <w:pPr>
        <w:pStyle w:val="Heading1"/>
        <w:ind w:hanging="0" w:start="0"/>
        <w:rPr/>
      </w:pPr>
      <w:r>
        <w:rPr/>
        <w:t xml:space="preserve"> </w:t>
      </w:r>
    </w:p>
    <w:p>
      <w:pPr>
        <w:pStyle w:val="Normal"/>
        <w:jc w:val="both"/>
        <w:rPr>
          <w:sz w:val="16"/>
        </w:rPr>
      </w:pPr>
      <w:r>
        <w:rPr>
          <w:sz w:val="16"/>
        </w:rPr>
      </w:r>
    </w:p>
    <w:sectPr>
      <w:footerReference w:type="default" r:id="rId2"/>
      <w:type w:val="nextPage"/>
      <w:pgSz w:w="12240" w:h="15840"/>
      <w:pgMar w:left="1728" w:right="1728"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6.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2160" w:start="2160" w:end="0"/>
      <w:jc w:val="both"/>
    </w:pPr>
    <w:rPr>
      <w:rFonts w:ascii="Arial" w:hAnsi="Arial" w:cs="Arial"/>
    </w:rPr>
  </w:style>
  <w:style w:type="paragraph" w:styleId="BodyTextIndent2">
    <w:name w:val="Body Text Indent 2"/>
    <w:basedOn w:val="Normal"/>
    <w:qFormat/>
    <w:pPr>
      <w:ind w:hanging="2160" w:start="2160" w:end="0"/>
    </w:pPr>
    <w:rPr>
      <w:rFonts w:ascii="Arial" w:hAnsi="Arial" w:cs="Aria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2001-04-14T15:54:00Z</dcterms:created>
  <dc:creator>rlydeck</dc:creator>
  <dc:description/>
  <dc:language>en-CA</dc:language>
  <cp:lastModifiedBy>jmrha</cp:lastModifiedBy>
  <cp:lastPrinted>2001-04-14T13:42:00Z</cp:lastPrinted>
  <dcterms:modified xsi:type="dcterms:W3CDTF">2001-04-14T16:43:00Z</dcterms:modified>
  <cp:revision>4</cp:revision>
  <dc:subject/>
  <dc:title>Special Assets Portfolio as of March 30, 2001</dc:title>
</cp:coreProperties>
</file>