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Appointment of Traders</w:t>
      </w:r>
    </w:p>
    <w:p>
      <w:pPr>
        <w:pStyle w:val="Heading1"/>
        <w:ind w:hanging="0" w:start="0"/>
        <w:rPr>
          <w:b/>
          <w:sz w:val="28"/>
        </w:rPr>
      </w:pPr>
      <w:r>
        <w:rPr>
          <w:b/>
          <w:sz w:val="28"/>
        </w:rPr>
        <w:t>Pursuant to Subsection C. of Section V</w:t>
      </w:r>
    </w:p>
    <w:p>
      <w:pPr>
        <w:pStyle w:val="Normal"/>
        <w:jc w:val="center"/>
        <w:rPr>
          <w:b/>
          <w:sz w:val="28"/>
        </w:rPr>
      </w:pPr>
      <w:r>
        <w:rPr>
          <w:b/>
          <w:sz w:val="28"/>
        </w:rPr>
        <w:t>of the</w:t>
      </w:r>
    </w:p>
    <w:p>
      <w:pPr>
        <w:pStyle w:val="Heading2"/>
        <w:ind w:hanging="0" w:start="0"/>
        <w:rPr/>
      </w:pPr>
      <w:r>
        <w:rPr/>
        <w:t>Bridgeline Risk Management Policy</w:t>
      </w:r>
    </w:p>
    <w:p>
      <w:pPr>
        <w:pStyle w:val="Normal"/>
        <w:jc w:val="center"/>
        <w:rPr>
          <w:b/>
          <w:sz w:val="28"/>
        </w:rPr>
      </w:pPr>
      <w:r>
        <w:rPr>
          <w:b/>
          <w:sz w:val="28"/>
        </w:rPr>
      </w:r>
    </w:p>
    <w:p>
      <w:pPr>
        <w:pStyle w:val="Normal"/>
        <w:rPr>
          <w:b/>
          <w:sz w:val="24"/>
        </w:rPr>
      </w:pPr>
      <w:r>
        <w:rPr>
          <w:b/>
          <w:sz w:val="24"/>
        </w:rPr>
      </w:r>
    </w:p>
    <w:p>
      <w:pPr>
        <w:pStyle w:val="Normal"/>
        <w:jc w:val="center"/>
        <w:rPr>
          <w:sz w:val="24"/>
        </w:rPr>
      </w:pPr>
      <w:r>
        <w:rPr>
          <w:sz w:val="24"/>
        </w:rPr>
      </w:r>
    </w:p>
    <w:p>
      <w:pPr>
        <w:pStyle w:val="Normal"/>
        <w:jc w:val="both"/>
        <w:rPr/>
      </w:pPr>
      <w:r>
        <w:rPr>
          <w:b/>
          <w:sz w:val="24"/>
        </w:rPr>
        <w:t>WHEREAS</w:t>
      </w:r>
      <w:r>
        <w:rPr>
          <w:sz w:val="24"/>
        </w:rPr>
        <w:t>, Bridgeline Gas Marketing, L.L.C., a Delaware limited liability company (“BMC”) is owned by Bridgeline Holding, L.P., a Delaware limited partnership (“BHLP”); BHLP also owns Enron Storage Company, L.L.C. (“ESC”).  These entities are collectively referred to as the “Bridgeline Entities”.</w:t>
      </w:r>
    </w:p>
    <w:p>
      <w:pPr>
        <w:pStyle w:val="Normal"/>
        <w:jc w:val="both"/>
        <w:rPr>
          <w:sz w:val="24"/>
        </w:rPr>
      </w:pPr>
      <w:r>
        <w:rPr>
          <w:sz w:val="24"/>
        </w:rPr>
      </w:r>
    </w:p>
    <w:p>
      <w:pPr>
        <w:pStyle w:val="Normal"/>
        <w:jc w:val="both"/>
        <w:rPr/>
      </w:pPr>
      <w:r>
        <w:rPr>
          <w:b/>
          <w:sz w:val="24"/>
        </w:rPr>
        <w:t>WHEREAS</w:t>
      </w:r>
      <w:r>
        <w:rPr>
          <w:sz w:val="24"/>
        </w:rPr>
        <w:t xml:space="preserve">, the Bridgeline Entities are subject to certain risk management policies approved by the general and limited partners of BHLP and particularly the Bridgeline Risk Management Policy attached hereto as </w:t>
      </w:r>
      <w:r>
        <w:rPr>
          <w:sz w:val="24"/>
          <w:u w:val="single"/>
        </w:rPr>
        <w:t>Schedule I</w:t>
      </w:r>
      <w:r>
        <w:rPr>
          <w:sz w:val="24"/>
        </w:rPr>
        <w:t xml:space="preserve"> (“Bridgeline Risk Management Policy”).  </w:t>
      </w:r>
    </w:p>
    <w:p>
      <w:pPr>
        <w:pStyle w:val="Normal"/>
        <w:jc w:val="both"/>
        <w:rPr>
          <w:sz w:val="24"/>
        </w:rPr>
      </w:pPr>
      <w:r>
        <w:rPr>
          <w:sz w:val="24"/>
        </w:rPr>
      </w:r>
    </w:p>
    <w:p>
      <w:pPr>
        <w:pStyle w:val="Normal"/>
        <w:jc w:val="both"/>
        <w:rPr/>
      </w:pPr>
      <w:r>
        <w:rPr>
          <w:b/>
          <w:sz w:val="24"/>
        </w:rPr>
        <w:t>WHEREAS</w:t>
      </w:r>
      <w:r>
        <w:rPr>
          <w:sz w:val="24"/>
        </w:rPr>
        <w:t>, all capitalized terms used herein shall have the definitions given thereto in the Bridgeline Risk Management Policy unless otherwise defined herein.</w:t>
      </w:r>
    </w:p>
    <w:p>
      <w:pPr>
        <w:pStyle w:val="Normal"/>
        <w:jc w:val="both"/>
        <w:rPr>
          <w:sz w:val="24"/>
        </w:rPr>
      </w:pPr>
      <w:r>
        <w:rPr>
          <w:sz w:val="24"/>
        </w:rPr>
      </w:r>
    </w:p>
    <w:p>
      <w:pPr>
        <w:pStyle w:val="Normal"/>
        <w:jc w:val="both"/>
        <w:rPr/>
      </w:pPr>
      <w:r>
        <w:rPr>
          <w:b/>
          <w:sz w:val="24"/>
        </w:rPr>
        <w:t>WHEREAS</w:t>
      </w:r>
      <w:r>
        <w:rPr>
          <w:sz w:val="24"/>
        </w:rPr>
        <w:t xml:space="preserve">, pursuant to subsection C. of Section V of the Bridgeline Risk Management Policy, the Vice President of Trading of BMC is authorized to designate those employees responsible for trading and authorized to trade on behalf of the Bridgeline Entities.  </w:t>
      </w:r>
    </w:p>
    <w:p>
      <w:pPr>
        <w:pStyle w:val="Normal"/>
        <w:jc w:val="both"/>
        <w:rPr>
          <w:sz w:val="24"/>
        </w:rPr>
      </w:pPr>
      <w:r>
        <w:rPr>
          <w:sz w:val="24"/>
        </w:rPr>
      </w:r>
    </w:p>
    <w:p>
      <w:pPr>
        <w:pStyle w:val="Normal"/>
        <w:jc w:val="both"/>
        <w:rPr/>
      </w:pPr>
      <w:r>
        <w:rPr>
          <w:b/>
          <w:sz w:val="24"/>
        </w:rPr>
        <w:t>WHEREAS</w:t>
      </w:r>
      <w:r>
        <w:rPr>
          <w:sz w:val="24"/>
        </w:rPr>
        <w:t xml:space="preserve">, such subsection further requires that both Partner Contacts must approve of such designations.  </w:t>
      </w:r>
    </w:p>
    <w:p>
      <w:pPr>
        <w:pStyle w:val="Normal"/>
        <w:jc w:val="both"/>
        <w:rPr>
          <w:sz w:val="24"/>
        </w:rPr>
      </w:pPr>
      <w:r>
        <w:rPr>
          <w:sz w:val="24"/>
        </w:rPr>
      </w:r>
    </w:p>
    <w:p>
      <w:pPr>
        <w:pStyle w:val="Normal"/>
        <w:jc w:val="both"/>
        <w:rPr/>
      </w:pPr>
      <w:r>
        <w:rPr>
          <w:b/>
          <w:sz w:val="24"/>
        </w:rPr>
        <w:t>WHEREAS</w:t>
      </w:r>
      <w:r>
        <w:rPr>
          <w:sz w:val="24"/>
        </w:rPr>
        <w:t>, the BMC President and the Chief Risk must also approve and maintain a record of such designated employees and set the Desk Limits of each such trader.</w:t>
      </w:r>
    </w:p>
    <w:p>
      <w:pPr>
        <w:pStyle w:val="Normal"/>
        <w:jc w:val="both"/>
        <w:rPr>
          <w:sz w:val="24"/>
        </w:rPr>
      </w:pPr>
      <w:r>
        <w:rPr>
          <w:sz w:val="24"/>
        </w:rPr>
      </w:r>
    </w:p>
    <w:p>
      <w:pPr>
        <w:pStyle w:val="Normal"/>
        <w:jc w:val="both"/>
        <w:rPr/>
      </w:pPr>
      <w:r>
        <w:rPr>
          <w:b/>
          <w:sz w:val="24"/>
        </w:rPr>
        <w:t>NOW THEREFORE</w:t>
      </w:r>
      <w:r>
        <w:rPr>
          <w:sz w:val="24"/>
        </w:rPr>
        <w:t>, each of the undersigned individuals designate and/or approve, as applicable, the following persons to be responsible for trading and authorized to trade on behalf of the Bridgeline Entities:</w:t>
      </w:r>
    </w:p>
    <w:p>
      <w:pPr>
        <w:pStyle w:val="Normal"/>
        <w:jc w:val="both"/>
        <w:rPr>
          <w:sz w:val="24"/>
        </w:rPr>
      </w:pPr>
      <w:r>
        <w:rPr>
          <w:sz w:val="24"/>
        </w:rPr>
      </w:r>
    </w:p>
    <w:p>
      <w:pPr>
        <w:pStyle w:val="Heading1"/>
        <w:ind w:firstLine="720" w:start="5760" w:end="0"/>
        <w:jc w:val="start"/>
        <w:rPr>
          <w:b/>
        </w:rPr>
      </w:pPr>
      <w:r>
        <w:rPr>
          <w:b/>
        </w:rPr>
        <w:t xml:space="preserve">  </w:t>
      </w:r>
      <w:r>
        <w:rPr>
          <w:b/>
        </w:rPr>
        <w:t>Individual Desk Limits</w:t>
      </w:r>
    </w:p>
    <w:p>
      <w:pPr>
        <w:pStyle w:val="Normal"/>
        <w:rPr/>
      </w:pPr>
      <w:r>
        <w:rPr/>
        <w:tab/>
        <w:tab/>
        <w:tab/>
        <w:tab/>
        <w:tab/>
        <w:tab/>
        <w:tab/>
        <w:tab/>
        <w:tab/>
      </w:r>
      <w:r>
        <w:rPr>
          <w:u w:val="single"/>
        </w:rPr>
        <w:t>(NYMEX Henry Hub Equivalents)</w:t>
      </w:r>
    </w:p>
    <w:p>
      <w:pPr>
        <w:pStyle w:val="Normal"/>
        <w:rPr>
          <w:sz w:val="24"/>
        </w:rPr>
      </w:pPr>
      <w:r>
        <w:rPr/>
        <w:tab/>
        <w:tab/>
        <w:tab/>
        <w:tab/>
        <w:tab/>
        <w:tab/>
        <w:tab/>
        <w:tab/>
        <w:tab/>
      </w:r>
    </w:p>
    <w:p>
      <w:pPr>
        <w:pStyle w:val="Normal"/>
        <w:jc w:val="both"/>
        <w:rPr>
          <w:sz w:val="24"/>
        </w:rPr>
      </w:pPr>
      <w:r>
        <w:rPr>
          <w:sz w:val="24"/>
        </w:rPr>
        <w:tab/>
        <w:t xml:space="preserve">Bob Shiring </w:t>
        <w:tab/>
        <w:tab/>
        <w:t>-</w:t>
        <w:tab/>
        <w:t>Vice President, Trading</w:t>
        <w:tab/>
        <w:t>15 Bcf (Rolling 12-Month)</w:t>
      </w:r>
    </w:p>
    <w:p>
      <w:pPr>
        <w:pStyle w:val="Normal"/>
        <w:jc w:val="both"/>
        <w:rPr>
          <w:sz w:val="24"/>
        </w:rPr>
      </w:pPr>
      <w:r>
        <w:rPr>
          <w:sz w:val="24"/>
        </w:rPr>
        <w:tab/>
        <w:t>Dan McCairns</w:t>
        <w:tab/>
        <w:tab/>
        <w:t>-</w:t>
        <w:tab/>
        <w:t>Trader</w:t>
        <w:tab/>
        <w:tab/>
        <w:tab/>
        <w:tab/>
        <w:t xml:space="preserve">  1 Bcf (Rolling 12-Month)</w:t>
      </w:r>
    </w:p>
    <w:p>
      <w:pPr>
        <w:pStyle w:val="Normal"/>
        <w:jc w:val="both"/>
        <w:rPr>
          <w:sz w:val="24"/>
        </w:rPr>
      </w:pPr>
      <w:r>
        <w:rPr>
          <w:sz w:val="24"/>
        </w:rPr>
        <w:tab/>
        <w:t>Brad Horn</w:t>
        <w:tab/>
        <w:tab/>
        <w:t>-</w:t>
        <w:tab/>
        <w:t>Trader</w:t>
        <w:tab/>
        <w:tab/>
        <w:tab/>
        <w:tab/>
        <w:t xml:space="preserve">  1 Bcf (Rolling 12-Month)</w:t>
      </w:r>
    </w:p>
    <w:p>
      <w:pPr>
        <w:pStyle w:val="Normal"/>
        <w:jc w:val="both"/>
        <w:rPr>
          <w:sz w:val="24"/>
        </w:rPr>
      </w:pPr>
      <w:r>
        <w:rPr>
          <w:sz w:val="24"/>
        </w:rPr>
        <w:tab/>
        <w:t>Greg Schockling</w:t>
        <w:tab/>
        <w:t>-</w:t>
        <w:tab/>
        <w:t>Trader</w:t>
        <w:tab/>
        <w:tab/>
        <w:tab/>
        <w:tab/>
        <w:t xml:space="preserve">  1 Bcf  (Rolling 12-Month)</w:t>
      </w:r>
    </w:p>
    <w:p>
      <w:pPr>
        <w:pStyle w:val="Normal"/>
        <w:jc w:val="both"/>
        <w:rPr>
          <w:sz w:val="24"/>
        </w:rPr>
      </w:pPr>
      <w:r>
        <w:rPr>
          <w:sz w:val="24"/>
        </w:rPr>
      </w:r>
    </w:p>
    <w:p>
      <w:pPr>
        <w:pStyle w:val="Normal"/>
        <w:jc w:val="both"/>
        <w:rPr>
          <w:sz w:val="24"/>
        </w:rPr>
      </w:pPr>
      <w:r>
        <w:rPr>
          <w:sz w:val="24"/>
        </w:rPr>
        <w:t xml:space="preserve">The foregoing individuals are authorized to transact business in accordance with this authorization and the Bridgeline Risk Management Policy, as the same may be amended from time to time in accordance with such policy.  </w:t>
      </w:r>
    </w:p>
    <w:p>
      <w:pPr>
        <w:pStyle w:val="Normal"/>
        <w:jc w:val="both"/>
        <w:rPr>
          <w:sz w:val="24"/>
        </w:rPr>
      </w:pPr>
      <w:r>
        <w:rPr>
          <w:sz w:val="24"/>
        </w:rPr>
      </w:r>
    </w:p>
    <w:p>
      <w:pPr>
        <w:pStyle w:val="Normal"/>
        <w:keepNext w:val="true"/>
        <w:keepLines/>
        <w:jc w:val="both"/>
        <w:rPr>
          <w:sz w:val="24"/>
        </w:rPr>
      </w:pPr>
      <w:r>
        <w:rPr>
          <w:sz w:val="24"/>
        </w:rPr>
      </w:r>
    </w:p>
    <w:p>
      <w:pPr>
        <w:pStyle w:val="Normal"/>
        <w:keepNext w:val="true"/>
        <w:keepLines/>
        <w:jc w:val="both"/>
        <w:rPr>
          <w:sz w:val="24"/>
        </w:rPr>
      </w:pPr>
      <w:r>
        <w:rPr>
          <w:sz w:val="24"/>
        </w:rPr>
        <w:t>The foregoing has been approved as of this ____ day of February, 2000.</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jc w:val="both"/>
        <w:rPr>
          <w:sz w:val="24"/>
        </w:rPr>
      </w:pPr>
      <w:r>
        <w:rPr>
          <w:sz w:val="24"/>
        </w:rPr>
        <w:tab/>
        <w:tab/>
        <w:tab/>
        <w:tab/>
        <w:tab/>
      </w:r>
      <w:r>
        <w:rPr>
          <w:sz w:val="24"/>
          <w:u w:val="single"/>
        </w:rPr>
        <w:tab/>
        <w:tab/>
        <w:tab/>
        <w:tab/>
        <w:tab/>
        <w:tab/>
      </w:r>
    </w:p>
    <w:p>
      <w:pPr>
        <w:pStyle w:val="Normal"/>
        <w:keepNext w:val="true"/>
        <w:keepLines/>
        <w:jc w:val="both"/>
        <w:rPr>
          <w:sz w:val="24"/>
        </w:rPr>
      </w:pPr>
      <w:r>
        <w:rPr>
          <w:sz w:val="24"/>
        </w:rPr>
        <w:tab/>
        <w:tab/>
        <w:tab/>
        <w:tab/>
        <w:tab/>
        <w:t>Bob Shiring, Vice President, Trading</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jc w:val="both"/>
        <w:rPr>
          <w:sz w:val="24"/>
        </w:rPr>
      </w:pPr>
      <w:r>
        <w:rPr>
          <w:sz w:val="24"/>
        </w:rPr>
        <w:tab/>
        <w:tab/>
        <w:tab/>
        <w:tab/>
        <w:tab/>
      </w:r>
      <w:r>
        <w:rPr>
          <w:sz w:val="24"/>
          <w:u w:val="single"/>
        </w:rPr>
        <w:tab/>
        <w:tab/>
        <w:tab/>
        <w:tab/>
        <w:tab/>
        <w:tab/>
      </w:r>
    </w:p>
    <w:p>
      <w:pPr>
        <w:pStyle w:val="Heading3"/>
        <w:keepLines/>
        <w:ind w:hanging="0" w:start="0"/>
        <w:rPr/>
      </w:pPr>
      <w:r>
        <w:rPr/>
        <w:tab/>
        <w:tab/>
        <w:tab/>
        <w:tab/>
        <w:tab/>
        <w:t xml:space="preserve">Randy Curry, President of each of the </w:t>
      </w:r>
    </w:p>
    <w:p>
      <w:pPr>
        <w:pStyle w:val="Normal"/>
        <w:keepNext w:val="true"/>
        <w:keepLines/>
        <w:jc w:val="both"/>
        <w:rPr>
          <w:sz w:val="24"/>
        </w:rPr>
      </w:pPr>
      <w:r>
        <w:rPr>
          <w:sz w:val="24"/>
        </w:rPr>
        <w:tab/>
        <w:tab/>
        <w:tab/>
        <w:tab/>
        <w:tab/>
        <w:t>Bridgeline Entities</w:t>
      </w:r>
    </w:p>
    <w:p>
      <w:pPr>
        <w:pStyle w:val="Normal"/>
        <w:keepNext w:val="true"/>
        <w:keepLines/>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r>
      <w:r>
        <w:rPr>
          <w:sz w:val="24"/>
          <w:u w:val="single"/>
        </w:rPr>
        <w:tab/>
        <w:tab/>
        <w:tab/>
        <w:tab/>
        <w:tab/>
        <w:tab/>
      </w:r>
    </w:p>
    <w:p>
      <w:pPr>
        <w:pStyle w:val="Normal"/>
        <w:jc w:val="both"/>
        <w:rPr/>
      </w:pPr>
      <w:r>
        <w:rPr>
          <w:sz w:val="24"/>
        </w:rPr>
        <w:tab/>
        <w:tab/>
        <w:tab/>
        <w:tab/>
        <w:tab/>
        <w:t>[</w:t>
      </w:r>
      <w:r>
        <w:rPr>
          <w:sz w:val="24"/>
          <w:u w:val="single"/>
        </w:rPr>
        <w:tab/>
        <w:tab/>
        <w:tab/>
        <w:tab/>
        <w:tab/>
        <w:tab/>
      </w:r>
      <w:r>
        <w:rPr>
          <w:sz w:val="24"/>
        </w:rPr>
        <w:t>],</w:t>
      </w:r>
    </w:p>
    <w:p>
      <w:pPr>
        <w:pStyle w:val="Normal"/>
        <w:jc w:val="both"/>
        <w:rPr>
          <w:sz w:val="24"/>
        </w:rPr>
      </w:pPr>
      <w:r>
        <w:rPr>
          <w:sz w:val="24"/>
        </w:rPr>
        <w:tab/>
        <w:tab/>
        <w:tab/>
        <w:tab/>
        <w:tab/>
        <w:t>[Director, Manager, Vice President]</w:t>
      </w:r>
    </w:p>
    <w:p>
      <w:pPr>
        <w:pStyle w:val="Normal"/>
        <w:jc w:val="both"/>
        <w:rPr>
          <w:sz w:val="24"/>
        </w:rPr>
      </w:pPr>
      <w:r>
        <w:rPr>
          <w:sz w:val="24"/>
        </w:rPr>
        <w:tab/>
        <w:tab/>
        <w:tab/>
        <w:tab/>
        <w:tab/>
        <w:t>of the Enron Corporate Risk Control Group,</w:t>
      </w:r>
    </w:p>
    <w:p>
      <w:pPr>
        <w:pStyle w:val="Normal"/>
        <w:jc w:val="both"/>
        <w:rPr>
          <w:sz w:val="24"/>
        </w:rPr>
      </w:pPr>
      <w:r>
        <w:rPr>
          <w:sz w:val="24"/>
        </w:rPr>
        <w:tab/>
        <w:tab/>
        <w:tab/>
        <w:tab/>
        <w:tab/>
        <w:t>in his capacity as Chief Risk Officer of the</w:t>
      </w:r>
    </w:p>
    <w:p>
      <w:pPr>
        <w:pStyle w:val="Normal"/>
        <w:jc w:val="both"/>
        <w:rPr>
          <w:sz w:val="24"/>
        </w:rPr>
      </w:pPr>
      <w:r>
        <w:rPr>
          <w:sz w:val="24"/>
        </w:rPr>
        <w:tab/>
        <w:tab/>
        <w:tab/>
        <w:tab/>
        <w:tab/>
        <w:t>Bridgeline Entities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r>
      <w:r>
        <w:rPr>
          <w:sz w:val="24"/>
          <w:u w:val="single"/>
        </w:rPr>
        <w:tab/>
        <w:tab/>
        <w:tab/>
        <w:tab/>
        <w:tab/>
        <w:tab/>
      </w:r>
    </w:p>
    <w:p>
      <w:pPr>
        <w:pStyle w:val="Normal"/>
        <w:jc w:val="both"/>
        <w:rPr>
          <w:sz w:val="24"/>
        </w:rPr>
      </w:pPr>
      <w:r>
        <w:rPr>
          <w:sz w:val="24"/>
        </w:rPr>
        <w:tab/>
        <w:tab/>
        <w:tab/>
        <w:tab/>
        <w:tab/>
        <w:t xml:space="preserve">Greg Whalley, in his capacity as the </w:t>
      </w:r>
    </w:p>
    <w:p>
      <w:pPr>
        <w:pStyle w:val="Normal"/>
        <w:ind w:firstLine="720" w:start="2880" w:end="0"/>
        <w:jc w:val="both"/>
        <w:rPr>
          <w:sz w:val="24"/>
        </w:rPr>
      </w:pPr>
      <w:r>
        <w:rPr>
          <w:sz w:val="24"/>
        </w:rPr>
        <w:t>ENA Contact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r>
      <w:r>
        <w:rPr>
          <w:sz w:val="24"/>
          <w:u w:val="single"/>
        </w:rPr>
        <w:tab/>
        <w:tab/>
        <w:tab/>
        <w:tab/>
        <w:tab/>
        <w:tab/>
      </w:r>
    </w:p>
    <w:p>
      <w:pPr>
        <w:pStyle w:val="Normal"/>
        <w:jc w:val="both"/>
        <w:rPr>
          <w:sz w:val="24"/>
        </w:rPr>
      </w:pPr>
      <w:r>
        <w:rPr>
          <w:sz w:val="24"/>
        </w:rPr>
        <w:tab/>
        <w:tab/>
        <w:tab/>
        <w:tab/>
        <w:tab/>
        <w:t>Terry F. Hudgens, in his capacity as the</w:t>
      </w:r>
    </w:p>
    <w:p>
      <w:pPr>
        <w:pStyle w:val="Normal"/>
        <w:jc w:val="both"/>
        <w:rPr>
          <w:sz w:val="24"/>
        </w:rPr>
      </w:pPr>
      <w:r>
        <w:rPr>
          <w:sz w:val="24"/>
        </w:rPr>
        <w:tab/>
        <w:tab/>
        <w:tab/>
        <w:tab/>
        <w:tab/>
        <w:t>TGNI Contact</w:t>
      </w:r>
    </w:p>
    <w:p>
      <w:pPr>
        <w:pStyle w:val="Normal"/>
        <w:jc w:val="both"/>
        <w:rPr>
          <w:sz w:val="24"/>
        </w:rPr>
      </w:pPr>
      <w:r>
        <w:rPr>
          <w:sz w:val="24"/>
        </w:rPr>
      </w:r>
    </w:p>
    <w:sectPr>
      <w:footerReference w:type="default" r:id="rId2"/>
      <w:footerReference w:type="first" r:id="rId3"/>
      <w:type w:val="nextPage"/>
      <w:pgSz w:w="12240" w:h="15840"/>
      <w:pgMar w:left="990" w:right="1170" w:gutter="0" w:header="0" w:top="1440" w:footer="72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O:Bgray\Contract\Bridgeline Authorization of Traders.doc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jc w:val="both"/>
      <w:outlineLvl w:val="2"/>
    </w:pPr>
    <w:rPr>
      <w:sz w:val="24"/>
    </w:rPr>
  </w:style>
  <w:style w:type="character" w:styleId="WW8Num4z0">
    <w:name w:val="WW8Num4z0"/>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3z0">
    <w:name w:val="WW8Num13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4z0">
    <w:name w:val="WW8Num24z0"/>
    <w:qFormat/>
    <w:rPr>
      <w:rFonts w:ascii="Wingdings" w:hAnsi="Wingdings" w:cs="Wingdings"/>
    </w:rPr>
  </w:style>
  <w:style w:type="character" w:styleId="WW8Num26z0">
    <w:name w:val="WW8Num26z0"/>
    <w:qFormat/>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2000-02-14T14:42:00Z</dcterms:created>
  <dc:creator>ebraden</dc:creator>
  <dc:description/>
  <dc:language>en-CA</dc:language>
  <cp:lastModifiedBy>ebraden</cp:lastModifiedBy>
  <cp:lastPrinted>2000-02-14T16:45:00Z</cp:lastPrinted>
  <dcterms:modified xsi:type="dcterms:W3CDTF">2000-02-15T21:04:00Z</dcterms:modified>
  <cp:revision>19</cp:revision>
  <dc:subject/>
  <dc:title>Bridgeline Authorization of Traders </dc:title>
</cp:coreProperties>
</file>