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color w:val="000000"/>
          <w:sz w:val="22"/>
        </w:rPr>
      </w:pPr>
      <w:r>
        <w:rPr>
          <w:rFonts w:cs="Times New Roman" w:ascii="Times New Roman" w:hAnsi="Times New Roman"/>
          <w:color w:val="000000"/>
          <w:sz w:val="22"/>
        </w:rPr>
      </w:r>
    </w:p>
    <w:p>
      <w:pPr>
        <w:pStyle w:val="Normal"/>
        <w:jc w:val="both"/>
        <w:rPr>
          <w:rFonts w:ascii="Times New Roman" w:hAnsi="Times New Roman" w:cs="Times New Roman"/>
          <w:color w:val="000000"/>
          <w:sz w:val="22"/>
        </w:rPr>
      </w:pPr>
      <w:r>
        <w:rPr>
          <w:rFonts w:cs="Times New Roman" w:ascii="Times New Roman" w:hAnsi="Times New Roman"/>
          <w:color w:val="000000"/>
          <w:sz w:val="22"/>
        </w:rPr>
      </w:r>
    </w:p>
    <w:p>
      <w:pPr>
        <w:pStyle w:val="Normal"/>
        <w:spacing w:lineRule="atLeast" w:line="240"/>
        <w:rPr>
          <w:rFonts w:ascii="Times New Roman" w:hAnsi="Times New Roman" w:cs="Times New Roman"/>
          <w:color w:val="000000"/>
          <w:sz w:val="22"/>
        </w:rPr>
      </w:pPr>
      <w:r>
        <w:rPr>
          <w:rFonts w:cs="Times New Roman" w:ascii="Times New Roman" w:hAnsi="Times New Roman"/>
          <w:color w:val="000000"/>
          <w:sz w:val="22"/>
        </w:rPr>
        <w:t>Bridge Information Systems, Inc.</w:t>
        <w:tab/>
        <w:tab/>
        <w:tab/>
        <w:tab/>
      </w:r>
      <w:r>
        <w:rPr>
          <w:rFonts w:cs="Times New Roman" w:ascii="Times New Roman" w:hAnsi="Times New Roman"/>
          <w:sz w:val="22"/>
        </w:rPr>
        <w:fldChar w:fldCharType="begin"/>
      </w:r>
      <w:r>
        <w:rPr>
          <w:sz w:val="22"/>
          <w:rFonts w:cs="Times New Roman" w:ascii="Times New Roman" w:hAnsi="Times New Roman"/>
        </w:rPr>
        <w:instrText xml:space="preserve"> DATE \@"MMMM\ d', 'yyyy" </w:instrText>
      </w:r>
      <w:r>
        <w:rPr>
          <w:sz w:val="22"/>
          <w:rFonts w:cs="Times New Roman" w:ascii="Times New Roman" w:hAnsi="Times New Roman"/>
        </w:rPr>
        <w:fldChar w:fldCharType="separate"/>
      </w:r>
      <w:r>
        <w:rPr>
          <w:sz w:val="22"/>
          <w:rFonts w:cs="Times New Roman" w:ascii="Times New Roman" w:hAnsi="Times New Roman"/>
        </w:rPr>
        <w:t>September 28, 2025</w:t>
      </w:r>
      <w:r>
        <w:rPr>
          <w:sz w:val="22"/>
          <w:rFonts w:cs="Times New Roman" w:ascii="Times New Roman" w:hAnsi="Times New Roman"/>
        </w:rPr>
        <w:fldChar w:fldCharType="end"/>
      </w:r>
    </w:p>
    <w:p>
      <w:pPr>
        <w:pStyle w:val="Normal"/>
        <w:spacing w:lineRule="atLeast" w:line="240"/>
        <w:rPr>
          <w:rFonts w:ascii="Times New Roman" w:hAnsi="Times New Roman" w:cs="Times New Roman"/>
          <w:color w:val="000000"/>
          <w:sz w:val="22"/>
        </w:rPr>
      </w:pPr>
      <w:r>
        <w:rPr>
          <w:rFonts w:cs="Times New Roman" w:ascii="Times New Roman" w:hAnsi="Times New Roman"/>
          <w:color w:val="000000"/>
          <w:sz w:val="22"/>
        </w:rPr>
        <w:t>3 World Financial Center</w:t>
      </w:r>
    </w:p>
    <w:p>
      <w:pPr>
        <w:pStyle w:val="Normal"/>
        <w:jc w:val="both"/>
        <w:rPr>
          <w:rFonts w:ascii="Times New Roman" w:hAnsi="Times New Roman" w:cs="Times New Roman"/>
          <w:color w:val="000000"/>
          <w:sz w:val="22"/>
        </w:rPr>
      </w:pPr>
      <w:r>
        <w:rPr>
          <w:rFonts w:cs="Times New Roman" w:ascii="Times New Roman" w:hAnsi="Times New Roman"/>
          <w:color w:val="000000"/>
          <w:sz w:val="22"/>
        </w:rPr>
        <w:t xml:space="preserve">New York, NY 10281-1009 </w:t>
      </w:r>
    </w:p>
    <w:p>
      <w:pPr>
        <w:pStyle w:val="Normal"/>
        <w:jc w:val="both"/>
        <w:rPr>
          <w:rFonts w:ascii="Times New Roman" w:hAnsi="Times New Roman" w:cs="Times New Roman"/>
          <w:color w:val="000000"/>
          <w:sz w:val="22"/>
        </w:rPr>
      </w:pPr>
      <w:r>
        <w:rPr>
          <w:rFonts w:cs="Times New Roman" w:ascii="Times New Roman" w:hAnsi="Times New Roman"/>
          <w:color w:val="000000"/>
          <w:sz w:val="22"/>
        </w:rPr>
      </w:r>
    </w:p>
    <w:p>
      <w:pPr>
        <w:pStyle w:val="Normal"/>
        <w:jc w:val="both"/>
        <w:rPr>
          <w:rFonts w:ascii="Times New Roman" w:hAnsi="Times New Roman" w:cs="Times New Roman"/>
          <w:sz w:val="22"/>
        </w:rPr>
      </w:pPr>
      <w:r>
        <w:rPr>
          <w:rFonts w:cs="Times New Roman" w:ascii="Times New Roman" w:hAnsi="Times New Roman"/>
          <w:color w:val="000000"/>
          <w:sz w:val="22"/>
        </w:rPr>
        <w:t>Gentlemen and Ladies:</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 xml:space="preserve">Enron Net Works LLC and EnronOnline, LLC (“Enron”), is prepared to furnish Bridge Information Systems, Inc. or one or more of its wholly-owned subsidiaries or Bridge eMarkets, Inc. (collectively, “Bridge”) with certain information that is either confidential, proprietary or otherwise not generally available to the public concerning Enron’s business, employees, financial condition, operations, assets and liabilities, including, without limitation, its development, implementation or operation of an Internet or electronic commerce site currently known as EnronOnline.com.  Enron is prepared to furnish such confidential or proprietary information to Bridge to facilitate its consideration of a possible transaction(s) between Enron and Bridge (each a “Transaction”).  This letter constitutes an agreement between Enron and Bridge (this “Agreement”).  </w:t>
      </w:r>
    </w:p>
    <w:p>
      <w:pPr>
        <w:pStyle w:val="BodyTextIndent"/>
        <w:spacing w:before="0" w:after="120"/>
        <w:rPr/>
      </w:pPr>
      <w:r>
        <w:rPr/>
        <w:t>As a condition to furnishing such information, Bridge and Enron agree as follows:</w:t>
      </w:r>
    </w:p>
    <w:p>
      <w:pPr>
        <w:pStyle w:val="Normal"/>
        <w:ind w:firstLine="720" w:end="0"/>
        <w:jc w:val="both"/>
        <w:rPr/>
      </w:pPr>
      <w:r>
        <w:rPr>
          <w:rFonts w:cs="Times New Roman" w:ascii="Times New Roman" w:hAnsi="Times New Roman"/>
          <w:sz w:val="22"/>
        </w:rPr>
        <w:t>1</w:t>
      </w:r>
      <w:r>
        <w:rPr>
          <w:rFonts w:cs="Times New Roman" w:ascii="Times New Roman" w:hAnsi="Times New Roman"/>
          <w:i/>
          <w:sz w:val="22"/>
        </w:rPr>
        <w:t>.</w:t>
        <w:tab/>
        <w:t>Enron Confidential Information.</w:t>
      </w:r>
      <w:r>
        <w:rPr>
          <w:rFonts w:cs="Times New Roman" w:ascii="Times New Roman" w:hAnsi="Times New Roman"/>
          <w:sz w:val="22"/>
        </w:rPr>
        <w:t xml:space="preserve">  Bridge shall use the Enron Confidential Information (as defined in Section 4) solely in connection with the consideration or negotiation of a Transaction.  Bridge shall not disclose the Enron Confidential Information to any person other than those of the directors, officers, employees, counsel, auditors, representatives and affiliates (collectively, “Representatives”) of Bridge, if any, who need to know Enron Confidential Information in order to consider or negotiate the terms of a Transaction.  Bridge agrees that (i) it shall inform such Representatives of the confidential nature of the Enron Confidential Information and the requirement that it not be used other than for the purposes described above, and (ii) in any event, Bridge shall be responsible for any breach of this Agreement by any of its Representatives.  Bridge will safeguard the Enron Confidential Information from unauthorized disclosure.  The term “person” as used in this Agreement shall be broadly interpreted to include, without limitation, any individual, corporation, company, partnership or other entity.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rFonts w:cs="Times New Roman" w:ascii="Times New Roman" w:hAnsi="Times New Roman"/>
          <w:sz w:val="22"/>
        </w:rPr>
        <w:t>2.</w:t>
        <w:tab/>
      </w:r>
      <w:r>
        <w:rPr>
          <w:rFonts w:cs="Times New Roman" w:ascii="Times New Roman" w:hAnsi="Times New Roman"/>
          <w:i/>
          <w:sz w:val="22"/>
        </w:rPr>
        <w:t>Nondisclosure of Discussions</w:t>
      </w:r>
      <w:r>
        <w:rPr>
          <w:rFonts w:cs="Times New Roman" w:ascii="Times New Roman" w:hAnsi="Times New Roman"/>
          <w:sz w:val="22"/>
        </w:rPr>
        <w:t>.</w:t>
      </w:r>
      <w:r>
        <w:rPr>
          <w:sz w:val="22"/>
        </w:rPr>
        <w:t xml:space="preserve">  </w:t>
      </w:r>
      <w:r>
        <w:rPr>
          <w:rFonts w:cs="Times New Roman" w:ascii="Times New Roman" w:hAnsi="Times New Roman"/>
          <w:sz w:val="22"/>
        </w:rPr>
        <w:t xml:space="preserve">Except as required by applicable law, without the prior written consent of Enron, Bridge shall not, and shall direct its Representatives not to, disclose to any person the fact that Bridge and Enron are considering or negotiating a Transaction, that the Enron Confidential Information has been made available to Bridge, or that Bridge has inspected any portion of Enron Confidential Information.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s>
        <w:ind w:firstLine="720" w:start="0" w:end="0"/>
        <w:jc w:val="both"/>
        <w:rPr>
          <w:rFonts w:ascii="Times New Roman" w:hAnsi="Times New Roman" w:cs="Times New Roman"/>
          <w:sz w:val="22"/>
        </w:rPr>
      </w:pPr>
      <w:r>
        <w:rPr>
          <w:rFonts w:cs="Times New Roman" w:ascii="Times New Roman" w:hAnsi="Times New Roman"/>
          <w:i/>
          <w:sz w:val="22"/>
        </w:rPr>
        <w:t>Notice Preceding Compelled Disclosure</w:t>
      </w:r>
      <w:r>
        <w:rPr>
          <w:rFonts w:cs="Times New Roman" w:ascii="Times New Roman" w:hAnsi="Times New Roman"/>
          <w:sz w:val="22"/>
        </w:rPr>
        <w:t>.  If Bridge or its Representatives are required by legal process (such as deposition, interrogatories, requests for information or documents, subpoena, civil investigative demand or similar process) or by applicable law or regulation to disclose any Enron Confidential Information, Bridge will, unless prohibited by applicable law, regulation, or judicial or other governmental authority of competent jurisdiction, promptly notify Enron of such requirement so that Enron may seek an appropriate protective order or waiver in respect of the Enron Confidential Information.  In the absence of a protective order or the receipt of a waiver hereunder, if Bridge or its Representatives are, in the written opinion of its counsel addressed to Enron, compelled to disclose the Enron Confidential Information (or any part thereof) or else stand liable for contempt or suffer other censure or penalty, Bridge (i) may disclose only such of the Enron Confidential Information to the party compelling disclosure as is required by applicable law, regulation or legal process, and (ii) if notice to Enron pursuant to the immediately preceding sentence is prohibited, shall exercise commercially reasonable efforts to obtain a protective order or other reliable assurance that confidential treatment will be accorded the Enron Confidential Information.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s>
        <w:ind w:firstLine="720" w:start="0" w:end="0"/>
        <w:jc w:val="both"/>
        <w:rPr>
          <w:rFonts w:ascii="Times New Roman" w:hAnsi="Times New Roman" w:cs="Times New Roman"/>
          <w:sz w:val="22"/>
        </w:rPr>
      </w:pPr>
      <w:r>
        <w:rPr>
          <w:rFonts w:cs="Times New Roman" w:ascii="Times New Roman" w:hAnsi="Times New Roman"/>
          <w:i/>
          <w:sz w:val="22"/>
        </w:rPr>
        <w:t>Definition of Enron Confidential Information</w:t>
      </w:r>
      <w:r>
        <w:rPr>
          <w:rFonts w:cs="Times New Roman" w:ascii="Times New Roman" w:hAnsi="Times New Roman"/>
          <w:sz w:val="22"/>
        </w:rPr>
        <w:t>.  As used herein, “Enron Confidential Information” means all information that is furnished to Bridge or its Representatives by Enron or its Representatives that concerns Enron, its parents, subsidiaries or other affiliates, including, without limitation, Enron’s Internet or electronic commerce ideas or plans, and that is either confidential, proprietary or otherwise not generally available to the public.  Enron Confidential Information shall also include any information that is furnished to Bridge or its Representatives by Enron or its Representatives and marked as being confidential. Notwithstanding the foregoing, the following will not constitute Enron Confidential Information for purposes of this Agreement:  (a) information that is or becomes generally available to the public other than as a result of a disclosure by Bridge or its Representatives, (b) information that Bridge can demonstrate was already in Bridge’s files on a nonconfidential basis prior to being furnished to Bridge by Enron, or (c) information that becomes available to Bridge on a nonconfidential basis from a source other than Enron if such source was not subject to any prohibition against transmitting the information to Bridge or its Representatives.</w:t>
      </w:r>
    </w:p>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s>
        <w:ind w:firstLine="720" w:start="0" w:end="0"/>
        <w:jc w:val="both"/>
        <w:rPr>
          <w:rFonts w:ascii="Times New Roman" w:hAnsi="Times New Roman" w:cs="Times New Roman"/>
          <w:sz w:val="22"/>
        </w:rPr>
      </w:pPr>
      <w:r>
        <w:rPr>
          <w:rFonts w:cs="Times New Roman" w:ascii="Times New Roman" w:hAnsi="Times New Roman"/>
          <w:i/>
          <w:sz w:val="22"/>
        </w:rPr>
        <w:t>Return of Information</w:t>
      </w:r>
      <w:r>
        <w:rPr>
          <w:rFonts w:cs="Times New Roman" w:ascii="Times New Roman" w:hAnsi="Times New Roman"/>
          <w:sz w:val="22"/>
        </w:rPr>
        <w:t>.  Bridge shall keep a record of Enron Confidential Information furnished to Bridge and of the location of such Enron Confidential Information.  Written Enron Confidential Information, except for that portion of Enron Confidential Information that may be found in analyses, compilations, studies or other documents prepared by or for Bridge by a person other than Enron or its Representatives, will be returned to Enron immediately upon Enron’s request, and no copies shall be retained by Bridge or its Representatives.  Notwithstanding any other provision of this Agreement, that portion of the Enron Confidential Information that may be found in analyses, compilations, studies or other documents prepared by or for Bridge by a person other than Enron or its Representatives, oral Enron Confidential Information and written Enron Confidential Information not so requested or returned will be held by Bridge and kept subject to the terms of this Agreement, or returned to Enron or destroyed, and written certification of such return or destruction, as applicable, delivered by Bridge to Enron.</w:t>
      </w:r>
    </w:p>
    <w:p>
      <w:pPr>
        <w:pStyle w:val="BodyTextIndent2"/>
        <w:rPr>
          <w:rFonts w:ascii="Times New Roman" w:hAnsi="Times New Roman" w:cs="Times New Roman"/>
          <w:sz w:val="22"/>
        </w:rPr>
      </w:pPr>
      <w:r>
        <w:rPr>
          <w:rFonts w:cs="Times New Roman"/>
          <w:sz w:val="22"/>
        </w:rPr>
      </w:r>
    </w:p>
    <w:p>
      <w:pPr>
        <w:pStyle w:val="Normal"/>
        <w:numPr>
          <w:ilvl w:val="0"/>
          <w:numId w:val="2"/>
        </w:numPr>
        <w:tabs>
          <w:tab w:val="clear" w:pos="720"/>
        </w:tabs>
        <w:ind w:firstLine="720" w:start="0" w:end="0"/>
        <w:jc w:val="both"/>
        <w:rPr>
          <w:rFonts w:ascii="Times New Roman" w:hAnsi="Times New Roman" w:cs="Times New Roman"/>
          <w:sz w:val="22"/>
        </w:rPr>
      </w:pPr>
      <w:r>
        <w:rPr>
          <w:rFonts w:cs="Times New Roman" w:ascii="Times New Roman" w:hAnsi="Times New Roman"/>
          <w:i/>
          <w:sz w:val="22"/>
        </w:rPr>
        <w:t>Term</w:t>
      </w:r>
      <w:r>
        <w:rPr>
          <w:rFonts w:cs="Times New Roman" w:ascii="Times New Roman" w:hAnsi="Times New Roman"/>
          <w:sz w:val="22"/>
        </w:rPr>
        <w:t>.  This Agreement shall be for a term beginning on the date hereof and ending upon the later of three years after the date hereof or Bridge’s certified return or destruction of Enron Confidential Information as provided in Section 5.</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s>
        <w:ind w:firstLine="720" w:start="0" w:end="0"/>
        <w:jc w:val="both"/>
        <w:rPr>
          <w:rFonts w:ascii="Times New Roman" w:hAnsi="Times New Roman" w:cs="Times New Roman"/>
          <w:sz w:val="22"/>
        </w:rPr>
      </w:pPr>
      <w:r>
        <w:rPr>
          <w:rFonts w:cs="Times New Roman" w:ascii="Times New Roman" w:hAnsi="Times New Roman"/>
          <w:i/>
          <w:sz w:val="22"/>
        </w:rPr>
        <w:t>Disclaimers</w:t>
      </w:r>
      <w:r>
        <w:rPr>
          <w:rFonts w:cs="Times New Roman" w:ascii="Times New Roman" w:hAnsi="Times New Roman"/>
          <w:sz w:val="22"/>
        </w:rPr>
        <w:t xml:space="preserve">.  As between Enron and Bridge, no employment, agency, joint venture, partnership or fiduciary relationship shall be deemed to exist or arise as a result of our entering into this Agreement.  This Agreement does not constitute a definitive agreement regarding a Transaction, and unless and until a definitive agreement regarding a Transaction is executed and delivered by each of Bridge and Enron, neither Bridge nor Enron shall be under any legal obligation of any kind whatsoever with respect to a Transaction.  Enron does not by this Agreement make any express or implied representation or warranty regarding any information provided to Bridge including, but not limited to, the accuracy or completeness of the Enron Confidential Information, errors therein or omissions therefrom.  Each of Enron and Bridge represents and warrants to the other that it is not acting, and further covenants to each other that it shall not act, as a broker for, or a representative of any person in respect of any Transaction contemplated hereby, and is considering any such Transaction for its own account.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s>
        <w:ind w:firstLine="720" w:start="0" w:end="0"/>
        <w:jc w:val="both"/>
        <w:rPr>
          <w:rFonts w:ascii="Times New Roman" w:hAnsi="Times New Roman" w:cs="Times New Roman"/>
          <w:sz w:val="22"/>
        </w:rPr>
      </w:pPr>
      <w:r>
        <w:rPr>
          <w:rFonts w:cs="Times New Roman" w:ascii="Times New Roman" w:hAnsi="Times New Roman"/>
          <w:i/>
          <w:sz w:val="22"/>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numPr>
          <w:ilvl w:val="0"/>
          <w:numId w:val="2"/>
        </w:numPr>
        <w:tabs>
          <w:tab w:val="clear" w:pos="720"/>
        </w:tabs>
        <w:ind w:firstLine="720" w:start="0" w:end="0"/>
        <w:jc w:val="both"/>
        <w:rPr>
          <w:rFonts w:ascii="Times New Roman" w:hAnsi="Times New Roman" w:cs="Times New Roman"/>
          <w:sz w:val="22"/>
        </w:rPr>
      </w:pPr>
      <w:r>
        <w:rPr>
          <w:rFonts w:cs="Times New Roman" w:ascii="Times New Roman" w:hAnsi="Times New Roman"/>
          <w:i/>
          <w:sz w:val="22"/>
        </w:rPr>
        <w:t>Binding Effect</w:t>
      </w:r>
      <w:r>
        <w:rPr>
          <w:rFonts w:cs="Times New Roman" w:ascii="Times New Roman" w:hAnsi="Times New Roman"/>
          <w:sz w:val="22"/>
        </w:rPr>
        <w:t>.  This Agreement shall bind, inure to the benefit of, and be enforceable by each of Bridge and Enron, and their respective successors and permitted assigns; provided that in no event may Bridge assign its rights or delegate its duties hereunder (by operation of law or otherwise) without the prior written consent of Enron to any person which is not directly or indirectly a wholly-owned subsidiary of Bridge Information Systems, Inc. or Bridge eMarkets, Inc.</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s>
        <w:spacing w:before="0" w:after="240"/>
        <w:ind w:firstLine="720" w:start="0" w:end="0"/>
        <w:jc w:val="both"/>
        <w:rPr>
          <w:rFonts w:ascii="Times New Roman" w:hAnsi="Times New Roman" w:cs="Times New Roman"/>
          <w:sz w:val="22"/>
        </w:rPr>
      </w:pPr>
      <w:r>
        <w:rPr>
          <w:rFonts w:cs="Times New Roman" w:ascii="Times New Roman" w:hAnsi="Times New Roman"/>
          <w:i/>
          <w:sz w:val="22"/>
        </w:rPr>
        <w:t>Remedies and Governing Law</w:t>
      </w:r>
      <w:r>
        <w:rPr>
          <w:rFonts w:cs="Times New Roman" w:ascii="Times New Roman" w:hAnsi="Times New Roman"/>
          <w:sz w:val="22"/>
        </w:rPr>
        <w:t xml:space="preserve">.  Money damages would not be a sufficient remedy for any breach of this Agreement by Bridge or its Representatives, and Enron shall be entitled to specific performance and injunctive relief as remedies upon proof of any such breach.  Such remedies shall not be deemed to be the exclusive remedies for a breach of this Agreement by Bridge or its Representatives but shall be in addition to all other remedies available at law or in equity to Enron.  Excepting the right of Enron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w:t>
      </w:r>
      <w:r>
        <w:rPr>
          <w:rFonts w:cs="Times New Roman" w:ascii="Times New Roman" w:hAnsi="Times New Roman"/>
          <w:i/>
          <w:sz w:val="22"/>
        </w:rPr>
        <w:t>This Agreement shall be governed and construed in accordance with the laws of the State of Texas without regard to the principles of conflicts of laws thereof</w:t>
      </w:r>
      <w:r>
        <w:rPr>
          <w:rFonts w:cs="Times New Roman" w:ascii="Times New Roman" w:hAnsi="Times New Roman"/>
          <w:sz w:val="22"/>
        </w:rPr>
        <w:t>.</w:t>
      </w:r>
    </w:p>
    <w:p>
      <w:pPr>
        <w:pStyle w:val="Normal"/>
        <w:numPr>
          <w:ilvl w:val="0"/>
          <w:numId w:val="2"/>
        </w:numPr>
        <w:tabs>
          <w:tab w:val="clear" w:pos="720"/>
        </w:tabs>
        <w:ind w:firstLine="720" w:start="0" w:end="0"/>
        <w:jc w:val="both"/>
        <w:rPr>
          <w:rFonts w:ascii="Times New Roman" w:hAnsi="Times New Roman" w:cs="Times New Roman"/>
          <w:sz w:val="22"/>
        </w:rPr>
      </w:pPr>
      <w:r>
        <w:rPr>
          <w:rFonts w:cs="Times New Roman" w:ascii="Times New Roman" w:hAnsi="Times New Roman"/>
          <w:i/>
          <w:sz w:val="22"/>
        </w:rPr>
        <w:t>Counterparts; Telecopy</w:t>
      </w:r>
      <w:r>
        <w:rPr>
          <w:rFonts w:cs="Times New Roman" w:ascii="Times New Roman" w:hAnsi="Times New Roman"/>
          <w:sz w:val="22"/>
        </w:rPr>
        <w:t>.  This Agreement may be executed in one or more counterparts, each of which shall constitute an original and all of which together shall constitute one and the same instrument.  This Agreement may be executed and delivered by telecopy or other facsimile means and if so executed and delivered, shall constitute and have the same binding effect as an original.</w:t>
      </w:r>
    </w:p>
    <w:p>
      <w:pPr>
        <w:pStyle w:val="Normal"/>
        <w:jc w:val="both"/>
        <w:rPr>
          <w:rFonts w:ascii="Times New Roman" w:hAnsi="Times New Roman" w:cs="Times New Roman"/>
          <w:sz w:val="22"/>
        </w:rPr>
      </w:pPr>
      <w:r>
        <w:rPr>
          <w:rFonts w:cs="Times New Roman" w:ascii="Times New Roman" w:hAnsi="Times New Roman"/>
          <w:sz w:val="22"/>
        </w:rPr>
      </w:r>
      <w:r>
        <w:br w:type="page"/>
      </w:r>
    </w:p>
    <w:p>
      <w:pPr>
        <w:pStyle w:val="Normal"/>
        <w:jc w:val="center"/>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 NET WORKS LLC</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ind w:start="5040" w:end="-1440"/>
        <w:jc w:val="both"/>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ind w:start="5040" w:end="-1440"/>
        <w:jc w:val="both"/>
        <w:rPr/>
      </w:pPr>
      <w:r>
        <w:rPr>
          <w:rFonts w:cs="Times New Roman" w:ascii="Times New Roman" w:hAnsi="Times New Roman"/>
          <w:sz w:val="22"/>
        </w:rPr>
        <w:t xml:space="preserve">Title: </w:t>
      </w:r>
      <w:r>
        <w:rPr>
          <w:rFonts w:cs="Times New Roman" w:ascii="Times New Roman" w:hAnsi="Times New Roman"/>
          <w:sz w:val="22"/>
          <w:u w:val="single"/>
        </w:rPr>
        <w:tab/>
      </w:r>
    </w:p>
    <w:p>
      <w:pPr>
        <w:pStyle w:val="Normal"/>
        <w:tabs>
          <w:tab w:val="clear" w:pos="720"/>
          <w:tab w:val="left" w:pos="4320" w:leader="none"/>
          <w:tab w:val="left" w:pos="9360" w:leader="none"/>
        </w:tabs>
        <w:ind w:start="5040" w:end="-1440"/>
        <w:jc w:val="both"/>
        <w:rPr>
          <w:rFonts w:ascii="Times New Roman" w:hAnsi="Times New Roman" w:cs="Times New Roman"/>
          <w:sz w:val="22"/>
          <w:u w:val="single"/>
        </w:rPr>
      </w:pPr>
      <w:r>
        <w:rPr>
          <w:rFonts w:cs="Times New Roman" w:ascii="Times New Roman" w:hAnsi="Times New Roman"/>
          <w:sz w:val="22"/>
          <w:u w:val="single"/>
        </w:rPr>
      </w:r>
    </w:p>
    <w:p>
      <w:pPr>
        <w:pStyle w:val="Normal"/>
        <w:ind w:start="5040" w:end="0"/>
        <w:jc w:val="both"/>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ind w:start="5040" w:end="-1440"/>
        <w:jc w:val="both"/>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ind w:start="5040" w:end="-144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r>
    </w:p>
    <w:p>
      <w:pPr>
        <w:pStyle w:val="Normal"/>
        <w:tabs>
          <w:tab w:val="clear" w:pos="720"/>
          <w:tab w:val="left" w:pos="4320" w:leader="none"/>
          <w:tab w:val="left" w:pos="9360" w:leader="none"/>
        </w:tabs>
        <w:ind w:start="5040" w:end="-144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490" w:leader="none"/>
          <w:tab w:val="left" w:pos="9360" w:leader="none"/>
        </w:tabs>
        <w:ind w:start="1440" w:end="-144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490" w:leader="none"/>
          <w:tab w:val="left" w:pos="9360" w:leader="none"/>
        </w:tabs>
        <w:ind w:end="-1440"/>
        <w:jc w:val="both"/>
        <w:rPr>
          <w:rFonts w:ascii="Times New Roman" w:hAnsi="Times New Roman" w:cs="Times New Roman"/>
          <w:sz w:val="22"/>
        </w:rPr>
      </w:pPr>
      <w:r>
        <w:rPr>
          <w:rFonts w:cs="Times New Roman" w:ascii="Times New Roman" w:hAnsi="Times New Roman"/>
          <w:sz w:val="22"/>
        </w:rPr>
        <w:t>Agreed and accepted as of</w:t>
      </w:r>
    </w:p>
    <w:p>
      <w:pPr>
        <w:pStyle w:val="Normal"/>
        <w:tabs>
          <w:tab w:val="clear" w:pos="720"/>
          <w:tab w:val="left" w:pos="5490" w:leader="none"/>
          <w:tab w:val="left" w:pos="9360" w:leader="none"/>
        </w:tabs>
        <w:ind w:end="-1440"/>
        <w:jc w:val="both"/>
        <w:rPr>
          <w:rFonts w:ascii="Times New Roman" w:hAnsi="Times New Roman" w:cs="Times New Roman"/>
          <w:sz w:val="22"/>
        </w:rPr>
      </w:pPr>
      <w:r>
        <w:rPr>
          <w:rFonts w:cs="Times New Roman" w:ascii="Times New Roman" w:hAnsi="Times New Roman"/>
          <w:sz w:val="22"/>
        </w:rPr>
        <w:t>the date first written above by:</w:t>
      </w:r>
    </w:p>
    <w:p>
      <w:pPr>
        <w:pStyle w:val="Normal"/>
        <w:tabs>
          <w:tab w:val="clear" w:pos="720"/>
          <w:tab w:val="left" w:pos="5490" w:leader="none"/>
          <w:tab w:val="left" w:pos="9360" w:leader="none"/>
        </w:tabs>
        <w:ind w:end="-144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490" w:leader="none"/>
          <w:tab w:val="left" w:pos="9360" w:leader="none"/>
        </w:tabs>
        <w:ind w:end="-1440"/>
        <w:rPr>
          <w:rFonts w:ascii="Times New Roman" w:hAnsi="Times New Roman" w:cs="Times New Roman"/>
          <w:color w:val="000000"/>
          <w:sz w:val="22"/>
        </w:rPr>
      </w:pPr>
      <w:r>
        <w:rPr>
          <w:rFonts w:cs="Times New Roman" w:ascii="Times New Roman" w:hAnsi="Times New Roman"/>
          <w:color w:val="000000"/>
          <w:sz w:val="22"/>
        </w:rPr>
        <w:t>BRIDGE INFORMATION SYSTEMS, INC.</w:t>
      </w:r>
    </w:p>
    <w:p>
      <w:pPr>
        <w:pStyle w:val="Normal"/>
        <w:tabs>
          <w:tab w:val="clear" w:pos="720"/>
          <w:tab w:val="left" w:pos="5490" w:leader="none"/>
          <w:tab w:val="left" w:pos="9360" w:leader="none"/>
        </w:tabs>
        <w:ind w:end="-1440"/>
        <w:jc w:val="both"/>
        <w:rPr>
          <w:rFonts w:ascii="Times New Roman" w:hAnsi="Times New Roman" w:cs="Times New Roman"/>
          <w:color w:val="000000"/>
          <w:sz w:val="22"/>
        </w:rPr>
      </w:pPr>
      <w:r>
        <w:rPr>
          <w:rFonts w:cs="Times New Roman" w:ascii="Times New Roman" w:hAnsi="Times New Roman"/>
          <w:color w:val="000000"/>
          <w:sz w:val="22"/>
        </w:rPr>
      </w:r>
    </w:p>
    <w:p>
      <w:pPr>
        <w:pStyle w:val="Normal"/>
        <w:tabs>
          <w:tab w:val="clear" w:pos="720"/>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ind w:end="-1440"/>
        <w:jc w:val="both"/>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ind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ind w:end="-144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490" w:leader="none"/>
          <w:tab w:val="left" w:pos="9360" w:leader="none"/>
        </w:tabs>
        <w:ind w:end="-1440"/>
        <w:rPr>
          <w:rFonts w:ascii="Times New Roman" w:hAnsi="Times New Roman" w:cs="Times New Roman"/>
          <w:color w:val="000000"/>
          <w:sz w:val="22"/>
        </w:rPr>
      </w:pPr>
      <w:r>
        <w:rPr>
          <w:rFonts w:cs="Times New Roman" w:ascii="Times New Roman" w:hAnsi="Times New Roman"/>
          <w:color w:val="000000"/>
          <w:sz w:val="22"/>
        </w:rPr>
        <w:t>BRIDGE E-MARKETS, INC.</w:t>
      </w:r>
    </w:p>
    <w:p>
      <w:pPr>
        <w:pStyle w:val="Normal"/>
        <w:tabs>
          <w:tab w:val="clear" w:pos="720"/>
          <w:tab w:val="left" w:pos="5490" w:leader="none"/>
          <w:tab w:val="left" w:pos="9360" w:leader="none"/>
        </w:tabs>
        <w:ind w:end="-1440"/>
        <w:rPr>
          <w:rFonts w:ascii="Times New Roman" w:hAnsi="Times New Roman" w:cs="Times New Roman"/>
          <w:color w:val="000000"/>
          <w:sz w:val="22"/>
        </w:rPr>
      </w:pPr>
      <w:r>
        <w:rPr>
          <w:rFonts w:cs="Times New Roman" w:ascii="Times New Roman" w:hAnsi="Times New Roman"/>
          <w:color w:val="000000"/>
          <w:sz w:val="22"/>
        </w:rPr>
      </w:r>
    </w:p>
    <w:p>
      <w:pPr>
        <w:pStyle w:val="Normal"/>
        <w:tabs>
          <w:tab w:val="clear" w:pos="720"/>
          <w:tab w:val="left" w:pos="5490" w:leader="none"/>
          <w:tab w:val="left" w:pos="9360" w:leader="none"/>
        </w:tabs>
        <w:ind w:end="-144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ind w:end="-1440"/>
        <w:jc w:val="both"/>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ind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ind w:end="-144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type w:val="nextPage"/>
      <w:pgSz w:w="12240" w:h="15840"/>
      <w:pgMar w:left="1440" w:right="1440" w:gutter="0" w:header="720" w:top="1267"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DATE \@"MMMM\ d', 'yyyy" </w:instrText>
    </w:r>
    <w:r>
      <w:rPr>
        <w:sz w:val="22"/>
        <w:rFonts w:cs="Times New Roman" w:ascii="Times New Roman" w:hAnsi="Times New Roman"/>
      </w:rPr>
      <w:fldChar w:fldCharType="separate"/>
    </w:r>
    <w:r>
      <w:rPr>
        <w:sz w:val="22"/>
        <w:rFonts w:cs="Times New Roman" w:ascii="Times New Roman" w:hAnsi="Times New Roman"/>
      </w:rPr>
      <w:t>September 28, 2025</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8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WW8Num9z0">
    <w:name w:val="WW8Num9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firstLine="720" w:start="720"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2001-01-12T14:32:00Z</dcterms:created>
  <dc:creator>ECT</dc:creator>
  <dc:description/>
  <dc:language>en-CA</dc:language>
  <cp:lastModifiedBy>tjones</cp:lastModifiedBy>
  <cp:lastPrinted>2001-01-12T11:36:00Z</cp:lastPrinted>
  <dcterms:modified xsi:type="dcterms:W3CDTF">2001-01-12T15:12:00Z</dcterms:modified>
  <cp:revision>9</cp:revision>
  <dc:subject/>
  <dc:title>Long Form Confidentiality Agreement</dc:title>
</cp:coreProperties>
</file>