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sz w:val="24"/>
        </w:rPr>
      </w:pPr>
      <w:r>
        <w:rPr>
          <w:sz w:val="24"/>
        </w:rPr>
        <w:t>February 6, 2001</w:t>
      </w:r>
    </w:p>
    <w:p>
      <w:pPr>
        <w:pStyle w:val="Normal"/>
        <w:rPr>
          <w:sz w:val="24"/>
        </w:rPr>
      </w:pPr>
      <w:r>
        <w:rPr>
          <w:sz w:val="24"/>
        </w:rPr>
      </w:r>
    </w:p>
    <w:p>
      <w:pPr>
        <w:pStyle w:val="InsideAddressName"/>
        <w:rPr>
          <w:sz w:val="24"/>
        </w:rPr>
      </w:pPr>
      <w:r>
        <w:rPr>
          <w:sz w:val="24"/>
        </w:rPr>
        <w:t>Brian J. Whalen Jr.</w:t>
      </w:r>
    </w:p>
    <w:p>
      <w:pPr>
        <w:pStyle w:val="InsideAddress"/>
        <w:rPr>
          <w:sz w:val="24"/>
        </w:rPr>
      </w:pPr>
      <w:r>
        <w:rPr>
          <w:sz w:val="24"/>
        </w:rPr>
        <w:t>IPP Project Manager, Transmission Business Development</w:t>
      </w:r>
    </w:p>
    <w:p>
      <w:pPr>
        <w:pStyle w:val="InsideAddress"/>
        <w:rPr>
          <w:sz w:val="24"/>
        </w:rPr>
      </w:pPr>
      <w:r>
        <w:rPr>
          <w:sz w:val="24"/>
        </w:rPr>
        <w:t>Sierra Pacific Power Company</w:t>
      </w:r>
    </w:p>
    <w:p>
      <w:pPr>
        <w:pStyle w:val="InsideAddress"/>
        <w:rPr>
          <w:sz w:val="24"/>
        </w:rPr>
      </w:pPr>
      <w:r>
        <w:rPr>
          <w:sz w:val="24"/>
        </w:rPr>
        <w:t>PO Box 10100</w:t>
      </w:r>
    </w:p>
    <w:p>
      <w:pPr>
        <w:pStyle w:val="InsideAddress"/>
        <w:rPr>
          <w:sz w:val="24"/>
        </w:rPr>
      </w:pPr>
      <w:r>
        <w:rPr>
          <w:sz w:val="24"/>
        </w:rPr>
        <w:t>Reno, Nevada 89520-0024</w:t>
      </w:r>
    </w:p>
    <w:p>
      <w:pPr>
        <w:pStyle w:val="InsideAddress"/>
        <w:rPr>
          <w:sz w:val="24"/>
        </w:rPr>
      </w:pPr>
      <w:r>
        <w:rPr>
          <w:sz w:val="24"/>
        </w:rPr>
      </w:r>
    </w:p>
    <w:p>
      <w:pPr>
        <w:pStyle w:val="Salutation"/>
        <w:rPr>
          <w:sz w:val="24"/>
        </w:rPr>
      </w:pPr>
      <w:r>
        <w:fldChar w:fldCharType="begin"/>
      </w:r>
      <w:r>
        <w:rPr>
          <w:sz w:val="24"/>
        </w:rPr>
        <w:instrText xml:space="preserve"> AUTOTEXTLIST </w:instrText>
      </w:r>
      <w:r>
        <w:rPr>
          <w:sz w:val="24"/>
        </w:rPr>
      </w:r>
      <w:r>
        <w:rPr>
          <w:sz w:val="24"/>
        </w:rPr>
        <w:fldChar w:fldCharType="separate"/>
      </w:r>
      <w:r>
        <w:rPr>
          <w:sz w:val="24"/>
        </w:rPr>
        <w:t>Dear Mr. Whalen:</w:t>
      </w:r>
      <w:r/>
      <w:r>
        <w:rPr>
          <w:sz w:val="24"/>
        </w:rPr>
        <w:fldChar w:fldCharType="end"/>
      </w:r>
      <w:r>
        <w:rPr>
          <w:sz w:val="24"/>
        </w:rPr>
      </w:r>
    </w:p>
    <w:p>
      <w:pPr>
        <w:pStyle w:val="Normal"/>
        <w:rPr>
          <w:sz w:val="24"/>
        </w:rPr>
      </w:pPr>
      <w:r>
        <w:rPr>
          <w:sz w:val="24"/>
        </w:rPr>
      </w:r>
    </w:p>
    <w:p>
      <w:pPr>
        <w:pStyle w:val="BodyText2"/>
        <w:rPr/>
      </w:pPr>
      <w:r>
        <w:rPr/>
        <w:t xml:space="preserve">On March 2, 2000, Enron North America Corp. (ENA), on behalf of Southwest Power, LLC, notified Nevada Power that it was requesting the initiation of studies to determine requirements of integrating new generation at the Las Vegas Cogeneration Facility into the Nevada Power Company transmisison system.  On June 29, 2000, ENA signed a letter agreement for an interconnection study.  </w:t>
      </w:r>
    </w:p>
    <w:p>
      <w:pPr>
        <w:pStyle w:val="BodyText2"/>
        <w:rPr/>
      </w:pPr>
      <w:r>
        <w:rPr/>
      </w:r>
    </w:p>
    <w:p>
      <w:pPr>
        <w:pStyle w:val="BodyText2"/>
        <w:rPr/>
      </w:pPr>
      <w:r>
        <w:rPr/>
        <w:t>In spite of ENA’s requests, Nevada Power indicated that it could act faster on ENA’s request if we agreed to act informally rather than insisting that the interconnection agreement specify that it was being performed under Sierra Pacific’s tariff.  Accordingly, ENA signed an agreement that did not insist on referencing the tariff provision establishing that the interconnection study be completed within sixty days  (See attached changes to Letter Agreement proposed by ENA) in spite of the FERC’s clear recent statements  that interconnection was simply the receipt point portion of transmission service and that the procedures for requesting such service were the same. Ref: Tennessee Power Company, 90 FERC 61,238 (2000). Ironically, ENA reluctantly signed Nevada Power’s proposed Letter Agreement on the same day Sierra Pacific issued it’s FERC filing on Interconnection of New Generating Facilities outlining procedures similar to Enron’s requests.</w:t>
      </w:r>
    </w:p>
    <w:p>
      <w:pPr>
        <w:pStyle w:val="BodyText2"/>
        <w:rPr/>
      </w:pPr>
      <w:r>
        <w:rPr/>
      </w:r>
    </w:p>
    <w:p>
      <w:pPr>
        <w:pStyle w:val="BodyText2"/>
        <w:rPr/>
      </w:pPr>
      <w:r>
        <w:rPr/>
        <w:t xml:space="preserve">On August 14, 2000, Enron Power Marketing Inc. (EPMI, a subsidiary of Enron North America) submitted to Nevada Power Company an application for 230 MW of long-term firm point-to-point transmission service under Sierra Pacific Resources’ Open Access Transmission Tariff for service from LV Cogen Substation to the Mead Substation.  On September 13, 2000, Nevada Power submitted to ENA a letter agreement for a system impact study, which ENA signed and returned on September 15, 2000.  Nevada Power therein agreed to use due diligence to complete the study within sixty days.  </w:t>
      </w:r>
    </w:p>
    <w:p>
      <w:pPr>
        <w:pStyle w:val="BodyText2"/>
        <w:rPr/>
      </w:pPr>
      <w:r>
        <w:rPr/>
      </w:r>
    </w:p>
    <w:p>
      <w:pPr>
        <w:pStyle w:val="BodyText2"/>
        <w:rPr/>
      </w:pPr>
      <w:r>
        <w:rPr/>
        <w:t>By a November 20, 2000 letter, Nevada Power advised ENA of its belief that five pending applications for transmission service overlapped with Enron’s application, thereby barring Nevada Power from providing EPMI the requested firm point to point transmission service without making additions to Nevada Power’s transmission system. These transmission additions were stated to be distinct and separate from those required to interconnect the proposed expansion of LV Cogen to Nevada Power’s transmission system.  The letter stated that Nevada Power had to analyze the five transmission applications as a prerequisite to evaluating and defining transmission requirements for Enron’s application.  Accordingly, Nevada Power estimated that its System Impact Study would be distributed on or before December 29, 2000.</w:t>
      </w:r>
    </w:p>
    <w:p>
      <w:pPr>
        <w:pStyle w:val="BodyText2"/>
        <w:rPr/>
      </w:pPr>
      <w:r>
        <w:rPr/>
      </w:r>
    </w:p>
    <w:p>
      <w:pPr>
        <w:pStyle w:val="BodyText2"/>
        <w:rPr/>
      </w:pPr>
      <w:r>
        <w:rPr/>
        <w:t xml:space="preserve">During a meeting with Nevada Power in mid-September, ENA </w:t>
      </w:r>
      <w:r>
        <w:rPr>
          <w:color w:val="000000"/>
          <w:lang w:eastAsia="en-US"/>
        </w:rPr>
        <w:t>indicated that Nevada Power’s interconnection of these five large IPP projects at 500-kV was a preferable approach. It was clear to ENA that the 138-kV and 69- kV systems through the city center were not capable of effectively transferring power from all the merchant plants in the queue.</w:t>
      </w:r>
    </w:p>
    <w:p>
      <w:pPr>
        <w:pStyle w:val="BodyText2"/>
        <w:rPr>
          <w:color w:val="000000"/>
          <w:lang w:eastAsia="en-US"/>
        </w:rPr>
      </w:pPr>
      <w:r>
        <w:rPr>
          <w:color w:val="000000"/>
          <w:lang w:eastAsia="en-US"/>
        </w:rPr>
      </w:r>
    </w:p>
    <w:p>
      <w:pPr>
        <w:pStyle w:val="BodyText2"/>
        <w:rPr/>
      </w:pPr>
      <w:r>
        <w:rPr/>
        <w:t>Nonetheless, by your January 4, 2001 letter, you once again advised us of your belief that our transmission request conflicted with and was in the queue behind “several transmission requests” for use of your 230 kV system.</w:t>
      </w:r>
    </w:p>
    <w:p>
      <w:pPr>
        <w:pStyle w:val="BodyText2"/>
        <w:rPr/>
      </w:pPr>
      <w:r>
        <w:rPr/>
      </w:r>
    </w:p>
    <w:p>
      <w:pPr>
        <w:pStyle w:val="BodyText2"/>
        <w:rPr/>
      </w:pPr>
      <w:r>
        <w:rPr/>
        <w:t xml:space="preserve">By your January 22, 2001 letter you provided a status of studies for our pending applications for Interconnection and Transmission Service. Following extensive delays, your letter appears to adopt our suggestion that interconnecting the Harry Allen area IPP customers at the 500 kV level is the better plan for integrating these customers. </w:t>
      </w:r>
    </w:p>
    <w:p>
      <w:pPr>
        <w:pStyle w:val="BodyText2"/>
        <w:rPr/>
      </w:pPr>
      <w:r>
        <w:rPr/>
      </w:r>
    </w:p>
    <w:p>
      <w:pPr>
        <w:pStyle w:val="BodyText2"/>
        <w:rPr/>
      </w:pPr>
      <w:r>
        <w:rPr/>
        <w:t>Although your letter seems to offer promise that we might soon receive definitive responses to our applications, your letter still does not provide a date certain for completing the system impact study for the Las Vegas Cogeneration II project, let alone for providing transmission and interconnection agreements for signature.  Rather, we read your letter to mean that the revised system impact for the other IPP customers will be issued by Friday, February 2, 2001.</w:t>
      </w:r>
    </w:p>
    <w:p>
      <w:pPr>
        <w:pStyle w:val="Normal"/>
        <w:rPr>
          <w:sz w:val="24"/>
        </w:rPr>
      </w:pPr>
      <w:r>
        <w:rPr>
          <w:sz w:val="24"/>
        </w:rPr>
      </w:r>
    </w:p>
    <w:p>
      <w:pPr>
        <w:pStyle w:val="Normal"/>
        <w:rPr>
          <w:sz w:val="24"/>
        </w:rPr>
      </w:pPr>
      <w:r>
        <w:rPr>
          <w:sz w:val="24"/>
        </w:rPr>
        <w:t>While we can understand the complexity of integrating a number of projects into the NPC transmission grid, you have had almost eight months to figure out our interconnection to the 138-kV system, which by our estimation is sufficient time to have completed any system impact studies that needed to be done.  Further, five months was certainly sufficient to determine whether transmission service was available where there is no one else in the queue and the capacity is available. Nevada Power has already taken much more time than envisioned by Sierra Pacific’s tariff to submit interconnection and transmission agreements for signature.</w:t>
      </w:r>
    </w:p>
    <w:p>
      <w:pPr>
        <w:pStyle w:val="Normal"/>
        <w:rPr>
          <w:sz w:val="24"/>
        </w:rPr>
      </w:pPr>
      <w:r>
        <w:rPr>
          <w:sz w:val="24"/>
        </w:rPr>
      </w:r>
    </w:p>
    <w:p>
      <w:pPr>
        <w:pStyle w:val="Normal"/>
        <w:rPr>
          <w:sz w:val="24"/>
        </w:rPr>
      </w:pPr>
      <w:r>
        <w:rPr>
          <w:sz w:val="24"/>
        </w:rPr>
        <w:t xml:space="preserve">Moreover, at this point your continued delays are impacting the viability of the project.  In addition to the project construction schedule impacts, our project financing is dependent upon satisfactory completion of these studies and having the appropriate agreements in place.  </w:t>
      </w:r>
    </w:p>
    <w:p>
      <w:pPr>
        <w:pStyle w:val="Normal"/>
        <w:rPr>
          <w:sz w:val="24"/>
        </w:rPr>
      </w:pPr>
      <w:r>
        <w:rPr>
          <w:sz w:val="24"/>
        </w:rPr>
      </w:r>
    </w:p>
    <w:p>
      <w:pPr>
        <w:pStyle w:val="Normal"/>
        <w:rPr>
          <w:sz w:val="24"/>
        </w:rPr>
      </w:pPr>
      <w:r>
        <w:rPr>
          <w:sz w:val="24"/>
        </w:rPr>
        <w:t>We trust that the NPC staff is now in a position to expeditiously complete the work on our requests.  Moreover, the system impact study should be simple since, although your letter does not clarify, as we understand it, your change in plans for the IPP Projects removes the obstacles to completing the studies for our requests and we are first in the queue for use of the 138 kV.</w:t>
      </w:r>
    </w:p>
    <w:p>
      <w:pPr>
        <w:pStyle w:val="Normal"/>
        <w:rPr>
          <w:sz w:val="24"/>
        </w:rPr>
      </w:pPr>
      <w:r>
        <w:rPr>
          <w:sz w:val="24"/>
        </w:rPr>
      </w:r>
    </w:p>
    <w:p>
      <w:pPr>
        <w:pStyle w:val="Normal"/>
        <w:rPr>
          <w:sz w:val="24"/>
        </w:rPr>
      </w:pPr>
      <w:r>
        <w:rPr>
          <w:sz w:val="24"/>
        </w:rPr>
        <w:t>It appears the contingencies to providing the transmission service we have requested, as referenced in your letter of January 4, 2001, have been removed by this change in the interconnection plan for those projects with higher queue priority. We expect that our requested transmission service can now be provided without requiring incremental transmission facilities.</w:t>
      </w:r>
    </w:p>
    <w:p>
      <w:pPr>
        <w:pStyle w:val="Normal"/>
        <w:rPr>
          <w:sz w:val="24"/>
        </w:rPr>
      </w:pPr>
      <w:r>
        <w:rPr>
          <w:sz w:val="24"/>
        </w:rPr>
      </w:r>
    </w:p>
    <w:p>
      <w:pPr>
        <w:pStyle w:val="Normal"/>
        <w:rPr>
          <w:sz w:val="24"/>
        </w:rPr>
      </w:pPr>
      <w:r>
        <w:rPr>
          <w:sz w:val="24"/>
        </w:rPr>
        <w:t>In a separate letter to Larry Luna, we will similarly address specific issues associated with the interconnection studies and interconnection plan for our project.</w:t>
      </w:r>
    </w:p>
    <w:p>
      <w:pPr>
        <w:pStyle w:val="Normal"/>
        <w:rPr>
          <w:sz w:val="24"/>
        </w:rPr>
      </w:pPr>
      <w:r>
        <w:rPr>
          <w:sz w:val="24"/>
        </w:rPr>
      </w:r>
    </w:p>
    <w:p>
      <w:pPr>
        <w:pStyle w:val="Normal"/>
        <w:rPr>
          <w:sz w:val="24"/>
        </w:rPr>
      </w:pPr>
      <w:r>
        <w:rPr>
          <w:sz w:val="24"/>
        </w:rPr>
        <w:t>We are prepared to assist in any way we can to complete this work in a timely fashion.  Further, if we do not receive executed transmission and interconnection agreements from you by February 28, 2001, we ask that you file these agreements unexecuted with FERC pursuant to section 15.3 of the tariff, to ensure that the project can get financing.</w:t>
      </w:r>
    </w:p>
    <w:p>
      <w:pPr>
        <w:pStyle w:val="Normal"/>
        <w:rPr>
          <w:sz w:val="24"/>
        </w:rPr>
      </w:pPr>
      <w:r>
        <w:rPr>
          <w:sz w:val="24"/>
        </w:rPr>
      </w:r>
    </w:p>
    <w:p>
      <w:pPr>
        <w:pStyle w:val="Normal"/>
        <w:rPr>
          <w:sz w:val="24"/>
        </w:rPr>
      </w:pPr>
      <w:r>
        <w:rPr>
          <w:sz w:val="24"/>
        </w:rPr>
        <w:t>Please contact me at (503) 464-8862.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Mary Hain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w:t>
        <w:tab/>
        <w:t>Mark Shank,  Nevada Power</w:t>
      </w:r>
    </w:p>
    <w:p>
      <w:pPr>
        <w:pStyle w:val="Normal"/>
        <w:rPr>
          <w:sz w:val="24"/>
        </w:rPr>
      </w:pPr>
      <w:r>
        <w:rPr>
          <w:sz w:val="24"/>
        </w:rPr>
        <w:tab/>
        <w:t>Larry Luna,  Nevada Power</w:t>
      </w:r>
    </w:p>
    <w:p>
      <w:pPr>
        <w:pStyle w:val="Normal"/>
        <w:rPr>
          <w:sz w:val="24"/>
        </w:rPr>
      </w:pPr>
      <w:r>
        <w:rPr>
          <w:sz w:val="24"/>
        </w:rPr>
        <w:tab/>
        <w:t>Chris Calger, ENA</w:t>
      </w:r>
    </w:p>
    <w:p>
      <w:pPr>
        <w:pStyle w:val="Normal"/>
        <w:rPr>
          <w:sz w:val="24"/>
        </w:rPr>
      </w:pPr>
      <w:r>
        <w:rPr>
          <w:sz w:val="24"/>
        </w:rPr>
        <w:tab/>
        <w:t>Gary Porter, Sierra Pacific</w:t>
      </w:r>
    </w:p>
    <w:sectPr>
      <w:headerReference w:type="default" r:id="rId2"/>
      <w:type w:val="nextPage"/>
      <w:pgSz w:w="12240" w:h="15840"/>
      <w:pgMar w:left="1800" w:right="1800" w:gutter="0" w:header="72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36"/>
      </w:rPr>
      <w:tab/>
    </w:r>
    <w:r>
      <w:rPr>
        <w:b/>
        <w:i/>
        <w:sz w:val="48"/>
      </w:rPr>
      <w:t>DRAFT</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2001-02-06T15:32:00Z</dcterms:created>
  <dc:creator>sgray</dc:creator>
  <dc:description/>
  <dc:language>en-CA</dc:language>
  <cp:lastModifiedBy>mhain</cp:lastModifiedBy>
  <cp:lastPrinted>2001-02-05T15:32:00Z</cp:lastPrinted>
  <dcterms:modified xsi:type="dcterms:W3CDTF">2001-02-06T15:32:00Z</dcterms:modified>
  <cp:revision>2</cp:revision>
  <dc:subject/>
  <dc:title>February 1, 2001</dc:title>
</cp:coreProperties>
</file>