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MEMO TO FILE FROM COOK 1/12/01:</w:t>
      </w:r>
    </w:p>
    <w:p>
      <w:pPr>
        <w:pStyle w:val="Normal"/>
        <w:rPr/>
      </w:pPr>
      <w:r>
        <w:rPr/>
        <w:t>JOSHUA TREE (BRAZOS)</w:t>
      </w:r>
    </w:p>
    <w:p>
      <w:pPr>
        <w:pStyle w:val="Normal"/>
        <w:rPr/>
      </w:pPr>
      <w:r>
        <w:rPr/>
      </w:r>
    </w:p>
    <w:p>
      <w:pPr>
        <w:pStyle w:val="Normal"/>
        <w:rPr/>
      </w:pPr>
      <w:r>
        <w:rPr/>
        <w:t>1.  See Term Sheet.</w:t>
      </w:r>
    </w:p>
    <w:p>
      <w:pPr>
        <w:pStyle w:val="Normal"/>
        <w:rPr/>
      </w:pPr>
      <w:r>
        <w:rPr/>
      </w:r>
    </w:p>
    <w:p>
      <w:pPr>
        <w:pStyle w:val="Normal"/>
        <w:rPr/>
      </w:pPr>
      <w:r>
        <w:rPr/>
        <w:t>2.  See Charts.</w:t>
      </w:r>
    </w:p>
    <w:p>
      <w:pPr>
        <w:pStyle w:val="Normal"/>
        <w:rPr/>
      </w:pPr>
      <w:r>
        <w:rPr/>
      </w:r>
    </w:p>
    <w:p>
      <w:pPr>
        <w:pStyle w:val="Normal"/>
        <w:rPr/>
      </w:pPr>
      <w:r>
        <w:rPr/>
        <w:t>3.  See Docs and Swaps.  (Closing Binder to come from Brenda Funk/Nora Dobin)</w:t>
      </w:r>
    </w:p>
    <w:p>
      <w:pPr>
        <w:pStyle w:val="Normal"/>
        <w:rPr/>
      </w:pPr>
      <w:r>
        <w:rPr/>
      </w:r>
    </w:p>
    <w:p>
      <w:pPr>
        <w:pStyle w:val="Normal"/>
        <w:rPr/>
      </w:pPr>
      <w:r>
        <w:rPr/>
        <w:t>Players:  Teresa Bushman (production payment legal), Nora Dobin (global finance legal), John Rain (Thompson &amp; Knight), Mary Cook and Angela Davis (swap legal), Dan Hyvl and Alan Aronowitz (physical legal).  Commercial:  Tim Proffitt, Jesus Melendrez, Chris Herron, Joan Quick, Shirley Hudler, and others.  Bank of America took lead.  Royal Bank of Scotland pulled out.</w:t>
      </w:r>
    </w:p>
    <w:p>
      <w:pPr>
        <w:pStyle w:val="Normal"/>
        <w:rPr/>
      </w:pPr>
      <w:r>
        <w:rPr/>
      </w:r>
    </w:p>
    <w:p>
      <w:pPr>
        <w:pStyle w:val="Normal"/>
        <w:rPr/>
      </w:pPr>
      <w:r>
        <w:rPr/>
        <w:t>General Narrative:</w:t>
      </w:r>
    </w:p>
    <w:p>
      <w:pPr>
        <w:pStyle w:val="Normal"/>
        <w:rPr/>
      </w:pPr>
      <w:r>
        <w:rPr/>
      </w:r>
    </w:p>
    <w:p>
      <w:pPr>
        <w:pStyle w:val="Normal"/>
        <w:rPr/>
      </w:pPr>
      <w:r>
        <w:rPr/>
        <w:t xml:space="preserve">This is a financing vehicle for funding volumetric production payments.   The vehicle is structured with Brazos VPP Limited Partnership, a Texas limited partnership, which is owned by Brazos VPP Trust and ENA.  The Trust issues certificates (97/3) as the production payments are placed into the vehicle.  Brazos Partnership buys the production payment (nonrecourse to producer and considered a transfer of real estate such that upon a producer bankruptcy the production payment would not be a part of the bankrupt estate).  The production payments are gas, and in some instances will include crude oil produced with the gas.  </w:t>
      </w:r>
    </w:p>
    <w:p>
      <w:pPr>
        <w:pStyle w:val="Normal"/>
        <w:rPr/>
      </w:pPr>
      <w:r>
        <w:rPr/>
      </w:r>
    </w:p>
    <w:p>
      <w:pPr>
        <w:pStyle w:val="Normal"/>
        <w:rPr/>
      </w:pPr>
      <w:r>
        <w:rPr/>
        <w:t>ENA is the servicer through the Balancing Agreement.  The Balancing Agreement allows ENA to make cash payments into the Brazos Partnership to make up for unbudgeted well workover etc. costs and for delays in production, in each case up to certain limits.  Further, it allows ENA to take such actions as necessary to rework scheduled deliveries in the event of accelerated production.  Finally, this agreement sets out the framework of engineering criteria for the production payments and the criteria for the determination of a major adverse reservoir event (the gas volumes are insufficient (rather than just delayed)).</w:t>
      </w:r>
    </w:p>
    <w:p>
      <w:pPr>
        <w:pStyle w:val="Normal"/>
        <w:rPr/>
      </w:pPr>
      <w:r>
        <w:rPr/>
      </w:r>
    </w:p>
    <w:p>
      <w:pPr>
        <w:pStyle w:val="Normal"/>
        <w:rPr/>
      </w:pPr>
      <w:r>
        <w:rPr/>
        <w:t>Brazos sells the gas to ENA under a physical offtake gas agreement and crude to ERAC under a physical offtake crude agreement at market clearing prices.</w:t>
      </w:r>
    </w:p>
    <w:p>
      <w:pPr>
        <w:pStyle w:val="Normal"/>
        <w:rPr/>
      </w:pPr>
      <w:r>
        <w:rPr/>
      </w:r>
    </w:p>
    <w:p>
      <w:pPr>
        <w:pStyle w:val="Normal"/>
        <w:rPr/>
      </w:pPr>
      <w:r>
        <w:rPr/>
        <w:t xml:space="preserve">Brazos enters into a variety of swaps subject to the Master ISDA (which is a special purpose plain vanilla ISDA without a CSA).  First, commodity swaps are entered into with ENA for each production payment commodity wherein ENA pays fixed and receives float at market clearing prices.  These must be limited to 97% as 3% equity cannot be swapped. (Note the fixed ENA payment also funds Brazos for payment of its fixed interest rate obligation of the interest rate swaps set forth below.)  Second, interest rate swaps are entered into with ENA wherein ENA pays float (identified as the Yield Factor as defined in the Trust Agreement applicable to a particular Series of Certificates (a different series will be issued for each production payment)), and Brazos pays fixed.  Note that the fixed interest rate payable by Brazos is funded into Brazos by being imbedded in the commodity swaps, again on only 97% of amortization.  The notional quantity of the swaps is based upon production payment volumes.  These volumes are supported by the Balancing Agreement; however, </w:t>
      </w:r>
      <w:r>
        <w:rPr>
          <w:u w:val="single"/>
        </w:rPr>
        <w:t>not</w:t>
      </w:r>
      <w:r>
        <w:rPr/>
        <w:t xml:space="preserve"> if limits are hit or if a major adverse reservoir event occurs.  This was a critical issue in the deal.  Under the partnership agreement (5.02) swap payments have priority over the debt, except if ENA declares a termination event, then Certificate A (97 debt) has priority for schedules amounts due.  This, in essence, breaks the swaps in respect of the notional quantities if the Balancing Agreement payment limits are met or upon a major adverse reservoir event.  Tim Proffitt (dealmaker) stated that sufficient credit reserves were being taken in respect of this event.  </w:t>
      </w:r>
    </w:p>
    <w:p>
      <w:pPr>
        <w:pStyle w:val="Normal"/>
        <w:rPr/>
      </w:pPr>
      <w:r>
        <w:rPr/>
      </w:r>
    </w:p>
    <w:p>
      <w:pPr>
        <w:pStyle w:val="Normal"/>
        <w:rPr/>
      </w:pPr>
      <w:r>
        <w:rPr/>
        <w:t>On December 28 the deal closed.  At that time previous production payments (Preston 1-gas and crude) and Crescendo (gas) were placed into the vehicle.  Two previous gas swaps had locked in prices at 100% volumes.  These swaps were amended to 97% and assigned into Brazos.  A crude swap at 97% volumes was entered into.  Two interest rate swaps were entered into.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2001-01-12T13:38:00Z</dcterms:created>
  <dc:creator>mcook</dc:creator>
  <dc:description/>
  <dc:language>en-CA</dc:language>
  <cp:lastModifiedBy>mcook</cp:lastModifiedBy>
  <cp:lastPrinted>2001-01-12T12:15:00Z</cp:lastPrinted>
  <dcterms:modified xsi:type="dcterms:W3CDTF">2001-01-12T17:25:00Z</dcterms:modified>
  <cp:revision>5</cp:revision>
  <dc:subject/>
  <dc:title/>
</cp:coreProperties>
</file>