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June, 2001, by and between, BRAZOS VALLEY ENERGY, L.P., a Delaware limited partnership, ("</w:t>
      </w:r>
      <w:r>
        <w:rPr>
          <w:rFonts w:cs="Arial Narrow" w:ascii="Arial Narrow" w:hAnsi="Arial Narrow"/>
          <w:sz w:val="18"/>
          <w:u w:val="single"/>
        </w:rPr>
        <w:t>BVE</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(BVE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BVE intends to own and operate a electrical generation power plant and related facilities (the "</w:t>
      </w:r>
      <w:r>
        <w:rPr>
          <w:rFonts w:cs="Arial Narrow" w:ascii="Arial Narrow" w:hAnsi="Arial Narrow"/>
          <w:sz w:val="18"/>
          <w:u w:val="single"/>
        </w:rPr>
        <w:t>BVE Plant</w:t>
      </w:r>
      <w:r>
        <w:rPr>
          <w:rFonts w:cs="Arial Narrow" w:ascii="Arial Narrow" w:hAnsi="Arial Narrow"/>
          <w:sz w:val="18"/>
        </w:rPr>
        <w:t xml:space="preserve">") located in Fort Bend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BVE also intends to install, own and operate approximately 4.3 miles of 20-inch pipeline (the "</w:t>
      </w:r>
      <w:r>
        <w:rPr>
          <w:rFonts w:cs="Arial Narrow" w:ascii="Arial Narrow" w:hAnsi="Arial Narrow"/>
          <w:sz w:val="18"/>
          <w:u w:val="single"/>
        </w:rPr>
        <w:t>BVE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BVE and HPL desire to install, own, and operate a bi-directional natural gas meter station and associated piping located at the BVE Pipeline in Fort Bend County, Texas to deliver natural gas between the HPL Pipeline to the BVE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bi-directional ultrasonic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BVE Pipeline (the "</w:t>
      </w:r>
      <w:r>
        <w:rPr>
          <w:rFonts w:cs="Arial Narrow" w:ascii="Arial Narrow" w:hAnsi="Arial Narrow"/>
          <w:sz w:val="18"/>
          <w:u w:val="single"/>
        </w:rPr>
        <w:t>Interconnect</w:t>
      </w:r>
      <w:r>
        <w:rPr>
          <w:rFonts w:cs="Arial Narrow" w:ascii="Arial Narrow" w:hAnsi="Arial Narrow"/>
          <w:sz w:val="18"/>
        </w:rPr>
        <w:t>").  The Interconnect shall consist of the BVE Facilities, the HPL Operated Facilities, and the HPL Facilities, as defined below. The layout of the Interconnect between the BVE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HPL Pipeline, </w:t>
      </w:r>
      <w:r>
        <w:rPr>
          <w:rFonts w:cs="Arial Narrow" w:ascii="Arial Narrow" w:hAnsi="Arial Narrow"/>
          <w:sz w:val="18"/>
        </w:rPr>
        <w:t>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BVE Ownership</w:t>
      </w:r>
      <w:r>
        <w:rPr>
          <w:rFonts w:cs="Arial Narrow" w:ascii="Arial Narrow" w:hAnsi="Arial Narrow"/>
          <w:sz w:val="18"/>
        </w:rPr>
        <w:t xml:space="preserve">. BVE shall own that portion of the Interconnect located on BVE’s side of the flange designated as the point of custody transfer as defined in Section 5(i) below which shall include (i) </w:t>
      </w:r>
      <w:r>
        <w:rPr>
          <w:rFonts w:cs="Arial Narrow" w:ascii="Arial Narrow" w:hAnsi="Arial Narrow"/>
          <w:color w:val="000000"/>
          <w:sz w:val="18"/>
        </w:rPr>
        <w:t>any required over pressure protection ("</w:t>
      </w:r>
      <w:r>
        <w:rPr>
          <w:rFonts w:cs="Arial Narrow" w:ascii="Arial Narrow" w:hAnsi="Arial Narrow"/>
          <w:color w:val="000000"/>
          <w:sz w:val="18"/>
          <w:u w:val="single"/>
        </w:rPr>
        <w:t>OPP</w:t>
      </w:r>
      <w:r>
        <w:rPr>
          <w:rFonts w:cs="Arial Narrow" w:ascii="Arial Narrow" w:hAnsi="Arial Narrow"/>
          <w:color w:val="000000"/>
          <w:sz w:val="18"/>
        </w:rPr>
        <w:t xml:space="preserve">"), and the piping from the BVE Pipeline to the downstream flange on the meter run (during flow from HPL to BVE) as shown on Exhibit "A" attached, </w:t>
      </w:r>
      <w:r>
        <w:rPr>
          <w:rFonts w:cs="Arial Narrow" w:ascii="Arial Narrow" w:hAnsi="Arial Narrow"/>
          <w:sz w:val="18"/>
        </w:rPr>
        <w:t>(the "</w:t>
      </w:r>
      <w:r>
        <w:rPr>
          <w:rFonts w:cs="Arial Narrow" w:ascii="Arial Narrow" w:hAnsi="Arial Narrow"/>
          <w:sz w:val="18"/>
          <w:u w:val="single"/>
        </w:rPr>
        <w:t>BVE Facilities</w:t>
      </w:r>
      <w:r>
        <w:rPr>
          <w:rFonts w:cs="Arial Narrow" w:ascii="Arial Narrow" w:hAnsi="Arial Narrow"/>
          <w:sz w:val="18"/>
        </w:rPr>
        <w:t xml:space="preserve">") and (ii) the 12-inch bi-directional ultrasonic meter, the flow and/or pressure control valves and associated equipment, OPP, the chromatograph, </w:t>
      </w:r>
      <w:r>
        <w:rPr>
          <w:rFonts w:cs="Arial Narrow" w:ascii="Arial Narrow" w:hAnsi="Arial Narrow"/>
          <w:color w:val="000000"/>
          <w:sz w:val="18"/>
        </w:rPr>
        <w:t>EFM/SCADA and RTU equipment, communication equipment and 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 (during flow from HPL to BVE)</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BVE Facilities shall be designed, installed and constructed by BVE or its designee in accordance with sound and prudent natural gas industry and with sound and prudent natural gas pipeline practice.  The HPL Operated Facilities shall be designed, installed and constructed by BVE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BVE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BVE shall reimburse HPL for all direct and indirect costs associated with the design, installation, procurement, and construction of the HPL Facilities including IRS tax gross-up.  HPL shall invoice BVE for such costs and BVE shall pay such invoice within 15 days of BVE’s receipt thereof.  </w:t>
      </w:r>
      <w:r>
        <w:rPr>
          <w:rFonts w:cs="Arial Narrow" w:ascii="Arial Narrow" w:hAnsi="Arial Narrow"/>
          <w:bCs/>
          <w:sz w:val="18"/>
        </w:rPr>
        <w:t xml:space="preserve">BVE shall be responsible and pay for all direct and indirect costs for the design, installation, procurement, and construction of the BVE Facilities and the HPL Operated Facilities. </w:t>
      </w:r>
      <w:r>
        <w:rPr>
          <w:rFonts w:cs="Arial Narrow" w:ascii="Arial Narrow" w:hAnsi="Arial Narrow"/>
          <w:sz w:val="18"/>
        </w:rPr>
        <w:t xml:space="preserve"> Additionally, BVE shall pay HPL a meter operation fee of $500.00 per month (the "</w:t>
      </w:r>
      <w:r>
        <w:rPr>
          <w:rFonts w:cs="Arial Narrow" w:ascii="Arial Narrow" w:hAnsi="Arial Narrow"/>
          <w:sz w:val="18"/>
          <w:u w:val="single"/>
        </w:rPr>
        <w:t>Meter Fee</w:t>
      </w:r>
      <w:r>
        <w:rPr>
          <w:rFonts w:cs="Arial Narrow" w:ascii="Arial Narrow" w:hAnsi="Arial Narrow"/>
          <w:sz w:val="18"/>
        </w:rPr>
        <w:t>") for each month during the term hereof that BVE flows less than 150,000 MMBTU through the Interconnect for such month.</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BVE shall obtain, at their sole cost and expense all clearances, permits, licenses, authorizations, easements and other land rights that may be needed for the construction, installation, maintenance, and operation of the BVE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BVE shall operate and maintain the BVE Facilities in accordance with sound and prudent natural gas industry practice and shall be fully responsible for the routine operation and maintenance thereof and for all cost and expense associated therewith.  BVE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and with sound and prudent natural gas pipeline industry practice.  Either Party shall at all times have the right to refuse delivery of gas not meeting the quality standards set forth in any applicable gas sales or transportation agreement.  Operation of the HPL Facilities by HPL or its designee shall include operation of the bi-directional ultrasonic meter (the "</w:t>
      </w:r>
      <w:r>
        <w:rPr>
          <w:rFonts w:cs="Arial Narrow" w:ascii="Arial Narrow" w:hAnsi="Arial Narrow"/>
          <w:sz w:val="18"/>
          <w:u w:val="single"/>
        </w:rPr>
        <w:t>Meter</w:t>
      </w:r>
      <w:r>
        <w:rPr>
          <w:rFonts w:cs="Arial Narrow" w:ascii="Arial Narrow" w:hAnsi="Arial Narrow"/>
          <w:sz w:val="18"/>
        </w:rPr>
        <w:t>") and HPL shall give BVE twenty-four hour operational notice prior to any testing or calibrating of the Meter.  BVE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BVE and BVE is not present at the time specified, then HPL may proceed with the tests as though BVE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BVE Facilities at pressures existing from time to time in the HPL Pipeline, unless otherwise agreed by the parties in an applicable gas sales or transport agreement.  BVE shall deliver gas to the HPL Facilities at pressure sufficient to effectuate deliveries at pressures existing in the HPL Pipeline from time to time, which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The HPL Operated Facilities shall include OPP equipment which shall be set at a pressure not to exceed the MAOP of the HPL Pipeline, as it may be modified from time to time.  BVE shall be responsible for the any OPP required to protect the BVE Facilities.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BVE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BVE.  The costs of such odorization shall be borne solely by BVE.</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thirty-six (36)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w:t>
      </w:r>
      <w:r>
        <w:rPr>
          <w:rFonts w:cs="Arial Narrow" w:ascii="Arial Narrow" w:hAnsi="Arial Narrow"/>
          <w:color w:val="000000"/>
          <w:sz w:val="18"/>
        </w:rPr>
        <w:t>twenty (20) years (the "</w:t>
      </w:r>
      <w:r>
        <w:rPr>
          <w:rFonts w:cs="Arial Narrow" w:ascii="Arial Narrow" w:hAnsi="Arial Narrow"/>
          <w:color w:val="000000"/>
          <w:sz w:val="18"/>
          <w:u w:val="single"/>
        </w:rPr>
        <w:t>Primary Term</w:t>
      </w:r>
      <w:r>
        <w:rPr>
          <w:rFonts w:cs="Arial Narrow" w:ascii="Arial Narrow" w:hAnsi="Arial Narrow"/>
          <w:color w:val="000000"/>
          <w:sz w:val="18"/>
        </w:rPr>
        <w:t>"), and shall continue in full force and effect thereafter so long as there is an agreement in effect that provides for the commercial flow of gas at or through the Interconnect ("</w:t>
      </w:r>
      <w:r>
        <w:rPr>
          <w:rFonts w:cs="Arial Narrow" w:ascii="Arial Narrow" w:hAnsi="Arial Narrow"/>
          <w:color w:val="000000"/>
          <w:sz w:val="18"/>
          <w:u w:val="single"/>
        </w:rPr>
        <w:t>Transportation Agreement</w:t>
      </w:r>
      <w:r>
        <w:rPr>
          <w:rFonts w:cs="Arial Narrow" w:ascii="Arial Narrow" w:hAnsi="Arial Narrow"/>
          <w:color w:val="000000"/>
          <w:sz w:val="18"/>
        </w:rPr>
        <w:t>"); provided, that after the Primary Term of this Agreement, upon the expiration or termination of any such Transportation Agreement, either Party may terminate this Agreement upon 60 days prior written notice to the other Party.</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PARTNERS,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BVE:</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Brazos Valley Energy, L.P.</w:t>
      </w:r>
    </w:p>
    <w:p>
      <w:pPr>
        <w:pStyle w:val="Normal"/>
        <w:widowControl/>
        <w:rPr>
          <w:rFonts w:ascii="Arial Narrow" w:hAnsi="Arial Narrow" w:cs="Arial Narrow"/>
          <w:sz w:val="18"/>
        </w:rPr>
      </w:pPr>
      <w:r>
        <w:rPr>
          <w:rFonts w:cs="Arial Narrow" w:ascii="Arial Narrow" w:hAnsi="Arial Narrow"/>
          <w:sz w:val="18"/>
        </w:rPr>
        <w:t>1400 Smith St.</w:t>
        <w:tab/>
        <w:tab/>
        <w:tab/>
        <w:t>Three Riverway, Suite 1100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77056</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499-1167</w:t>
      </w:r>
    </w:p>
    <w:p>
      <w:pPr>
        <w:pStyle w:val="Normal"/>
        <w:widowControl/>
        <w:rPr>
          <w:rFonts w:ascii="Arial Narrow" w:hAnsi="Arial Narrow" w:cs="Arial Narrow"/>
          <w:sz w:val="18"/>
        </w:rPr>
      </w:pPr>
      <w:r>
        <w:rPr>
          <w:rFonts w:cs="Arial Narrow" w:ascii="Arial Narrow" w:hAnsi="Arial Narrow"/>
          <w:sz w:val="18"/>
        </w:rPr>
        <w:t>Facsimile Number:  (713) 646-8416</w:t>
        <w:tab/>
        <w:t>Phone Number: (713) 499-1149</w:t>
      </w:r>
    </w:p>
    <w:p>
      <w:pPr>
        <w:pStyle w:val="Normal"/>
        <w:widowControl/>
        <w:ind w:firstLine="720" w:start="2160" w:end="0"/>
        <w:rPr>
          <w:rFonts w:ascii="Arial Narrow" w:hAnsi="Arial Narrow" w:cs="Arial Narrow"/>
          <w:sz w:val="18"/>
        </w:rPr>
      </w:pPr>
      <w:r>
        <w:rPr>
          <w:rFonts w:cs="Arial Narrow" w:ascii="Arial Narrow" w:hAnsi="Arial Narrow"/>
          <w:sz w:val="18"/>
        </w:rPr>
        <w:t>Attn: Vice President Asset Development</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Brazos Valley Project, L.P.</w:t>
      </w:r>
    </w:p>
    <w:p>
      <w:pPr>
        <w:pStyle w:val="Normal"/>
        <w:widowControl/>
        <w:rPr/>
      </w:pPr>
      <w:r>
        <w:rPr>
          <w:rFonts w:cs="Arial Narrow" w:ascii="Arial Narrow" w:hAnsi="Arial Narrow"/>
          <w:b/>
          <w:sz w:val="18"/>
        </w:rPr>
        <w:tab/>
        <w:tab/>
        <w:tab/>
        <w:tab/>
      </w:r>
      <w:r>
        <w:rPr>
          <w:rFonts w:cs="Arial Narrow" w:ascii="Arial Narrow" w:hAnsi="Arial Narrow"/>
          <w:sz w:val="18"/>
        </w:rPr>
        <w:t>Three Riverway, Suite 1100</w:t>
      </w:r>
    </w:p>
    <w:p>
      <w:pPr>
        <w:pStyle w:val="Normal"/>
        <w:widowControl/>
        <w:rPr>
          <w:rFonts w:ascii="Arial Narrow" w:hAnsi="Arial Narrow" w:cs="Arial Narrow"/>
          <w:sz w:val="18"/>
        </w:rPr>
      </w:pPr>
      <w:r>
        <w:rPr>
          <w:rFonts w:cs="Arial Narrow" w:ascii="Arial Narrow" w:hAnsi="Arial Narrow"/>
          <w:sz w:val="18"/>
        </w:rPr>
        <w:tab/>
        <w:tab/>
        <w:tab/>
        <w:tab/>
        <w:t>Houston, Texas 77056</w:t>
      </w:r>
    </w:p>
    <w:p>
      <w:pPr>
        <w:pStyle w:val="Normal"/>
        <w:widowControl/>
        <w:rPr>
          <w:rFonts w:ascii="Arial Narrow" w:hAnsi="Arial Narrow" w:cs="Arial Narrow"/>
          <w:sz w:val="18"/>
        </w:rPr>
      </w:pPr>
      <w:r>
        <w:rPr>
          <w:rFonts w:cs="Arial Narrow" w:ascii="Arial Narrow" w:hAnsi="Arial Narrow"/>
          <w:sz w:val="18"/>
        </w:rPr>
        <w:tab/>
        <w:tab/>
        <w:tab/>
        <w:tab/>
        <w:t>Facsimile Number: (713) 499-1167</w:t>
      </w:r>
    </w:p>
    <w:p>
      <w:pPr>
        <w:pStyle w:val="Normal"/>
        <w:widowControl/>
        <w:rPr>
          <w:rFonts w:ascii="Arial Narrow" w:hAnsi="Arial Narrow" w:cs="Arial Narrow"/>
          <w:sz w:val="18"/>
        </w:rPr>
      </w:pPr>
      <w:r>
        <w:rPr>
          <w:rFonts w:cs="Arial Narrow" w:ascii="Arial Narrow" w:hAnsi="Arial Narrow"/>
          <w:sz w:val="18"/>
        </w:rPr>
        <w:tab/>
        <w:tab/>
        <w:tab/>
        <w:tab/>
        <w:t>Phone Number: (713) 499-1149</w:t>
      </w:r>
    </w:p>
    <w:p>
      <w:pPr>
        <w:pStyle w:val="Normal"/>
        <w:widowControl/>
        <w:rPr>
          <w:rFonts w:ascii="Arial Narrow" w:hAnsi="Arial Narrow" w:cs="Arial Narrow"/>
          <w:sz w:val="18"/>
        </w:rPr>
      </w:pPr>
      <w:r>
        <w:rPr>
          <w:rFonts w:cs="Arial Narrow" w:ascii="Arial Narrow" w:hAnsi="Arial Narrow"/>
          <w:sz w:val="18"/>
        </w:rPr>
        <w:tab/>
        <w:tab/>
        <w:tab/>
        <w:tab/>
        <w:t>Attn: Vice President Asset Development</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rFonts w:ascii="Arial Narrow" w:hAnsi="Arial Narrow" w:cs="Arial Narrow"/>
          <w:b/>
          <w:sz w:val="18"/>
        </w:rPr>
      </w:pPr>
      <w:r>
        <w:rPr>
          <w:rFonts w:cs="Arial Narrow" w:ascii="Arial Narrow" w:hAnsi="Arial Narrow"/>
          <w:b/>
          <w:sz w:val="18"/>
        </w:rPr>
        <w:t>BRAZOS VALLEY ENERGY, L.P.</w:t>
        <w:tab/>
        <w:tab/>
        <w:tab/>
        <w:tab/>
        <w:t>HOUSTON PIPE LINE COMPANY</w:t>
      </w:r>
    </w:p>
    <w:p>
      <w:pPr>
        <w:pStyle w:val="Normal"/>
        <w:widowControl/>
        <w:jc w:val="both"/>
        <w:rPr/>
      </w:pPr>
      <w:r>
        <w:rPr>
          <w:rFonts w:cs="Arial Narrow" w:ascii="Arial Narrow" w:hAnsi="Arial Narrow"/>
          <w:bCs/>
          <w:sz w:val="18"/>
        </w:rPr>
        <w:t>By _______</w:t>
      </w:r>
      <w:r>
        <w:rPr>
          <w:rFonts w:cs="Arial Narrow" w:ascii="Arial Narrow" w:hAnsi="Arial Narrow"/>
          <w:b/>
          <w:sz w:val="18"/>
        </w:rPr>
        <w:t>____________________</w:t>
      </w:r>
    </w:p>
    <w:p>
      <w:pPr>
        <w:pStyle w:val="Normal"/>
        <w:widowControl/>
        <w:jc w:val="both"/>
        <w:rPr/>
      </w:pPr>
      <w:r>
        <w:rPr>
          <w:rFonts w:eastAsia="Arial Narrow" w:cs="Arial Narrow" w:ascii="Arial Narrow" w:hAnsi="Arial Narrow"/>
          <w:bCs/>
          <w:sz w:val="18"/>
        </w:rPr>
        <w:t xml:space="preserve"> </w:t>
      </w:r>
      <w:r>
        <w:rPr>
          <w:rFonts w:cs="Arial Narrow" w:ascii="Arial Narrow" w:hAnsi="Arial Narrow"/>
          <w:bCs/>
          <w:sz w:val="18"/>
        </w:rPr>
        <w:t>Its General Partner</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Brazos_Valley_Project_ICA2.doc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2001-06-01T16:53:00Z</dcterms:created>
  <dc:creator>ECT</dc:creator>
  <dc:description/>
  <dc:language>en-CA</dc:language>
  <cp:lastModifiedBy>gnemec</cp:lastModifiedBy>
  <cp:lastPrinted>2001-05-24T18:00:00Z</cp:lastPrinted>
  <dcterms:modified xsi:type="dcterms:W3CDTF">2001-06-01T16:55:00Z</dcterms:modified>
  <cp:revision>3</cp:revision>
  <dc:subject/>
  <dc:title>Letter format</dc:title>
</cp:coreProperties>
</file>