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5215" cy="10782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5215" cy="1078230"/>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June __, 2001</w:t>
      </w:r>
    </w:p>
    <w:p>
      <w:pPr>
        <w:pStyle w:val="Normal"/>
        <w:widowControl/>
        <w:jc w:val="both"/>
        <w:rPr>
          <w:sz w:val="20"/>
        </w:rPr>
      </w:pPr>
      <w:r>
        <w:rPr>
          <w:sz w:val="20"/>
        </w:rPr>
      </w:r>
    </w:p>
    <w:p>
      <w:pPr>
        <w:pStyle w:val="Normal"/>
        <w:widowControl/>
        <w:jc w:val="both"/>
        <w:rPr>
          <w:sz w:val="20"/>
        </w:rPr>
      </w:pPr>
      <w:r>
        <w:rPr>
          <w:sz w:val="20"/>
        </w:rPr>
        <w:t xml:space="preserve">To: </w:t>
        <w:tab/>
        <w:tab/>
        <w:t>Brazos VPP Limited Partnership (“Party B”)</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color w:val="FF0000"/>
          <w:sz w:val="20"/>
        </w:rPr>
      </w:pPr>
      <w:r>
        <w:rPr>
          <w:sz w:val="20"/>
        </w:rPr>
        <w:t>RE:</w:t>
        <w:tab/>
        <w:tab/>
        <w:t>Swap Transaction  (KCS Resources Inc./KCS 2/Interest Rate)</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date specified above (the “Transaction”). This Confirmation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December 27,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2"/>
        <w:widowControl/>
        <w:ind w:start="0" w:end="0"/>
        <w:rPr>
          <w:b/>
        </w:rPr>
      </w:pPr>
      <w:r>
        <w:rPr>
          <w:b/>
        </w:rPr>
        <w:t>General Terms:</w:t>
        <w:tab/>
      </w:r>
    </w:p>
    <w:p>
      <w:pPr>
        <w:pStyle w:val="BodyText2"/>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Normal"/>
              <w:jc w:val="both"/>
              <w:rPr>
                <w:sz w:val="20"/>
              </w:rPr>
            </w:pPr>
            <w:r>
              <w:rPr>
                <w:sz w:val="20"/>
              </w:rPr>
              <w:t>For each Calculation Period, the amount set forth in Exhibit I under the heading ‘Notional Amount’</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June __, 2001</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December 31, 2005</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Calculation Period: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As set forth in Exhibit I, beginning on the Effective Date and ending on December 31, 2005</w:t>
            </w:r>
          </w:p>
        </w:tc>
      </w:tr>
    </w:tbl>
    <w:p>
      <w:pPr>
        <w:pStyle w:val="BodyText2"/>
        <w:widowControl/>
        <w:tabs>
          <w:tab w:val="left" w:pos="90" w:leader="none"/>
          <w:tab w:val="left" w:pos="2160" w:leader="none"/>
          <w:tab w:val="left" w:pos="4140" w:leader="none"/>
          <w:tab w:val="left" w:pos="4320" w:leader="none"/>
          <w:tab w:val="left" w:pos="6480" w:leader="none"/>
        </w:tabs>
        <w:ind w:hanging="720" w:start="0" w:end="0"/>
        <w:rPr/>
      </w:pPr>
      <w:r>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2"/>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2"/>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each Calculation Period</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 xml:space="preserve">____ percent </w:t>
            </w:r>
            <w:r>
              <w:rPr>
                <w:b/>
                <w:bCs/>
              </w:rPr>
              <w:t>[to include 1.375% Applicable Margin based upon Enron Corp. BBB+ rating]</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b/>
                <w:bCs/>
                <w:sz w:val="20"/>
              </w:rPr>
            </w:pPr>
            <w:r>
              <w:rPr>
                <w:b/>
                <w:bCs/>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2"/>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30/360</w:t>
            </w:r>
          </w:p>
        </w:tc>
      </w:tr>
    </w:tbl>
    <w:p>
      <w:pPr>
        <w:pStyle w:val="BodyText2"/>
        <w:widowControl/>
        <w:tabs>
          <w:tab w:val="left" w:pos="90" w:leader="none"/>
          <w:tab w:val="left" w:pos="2160" w:leader="none"/>
          <w:tab w:val="left" w:pos="4140" w:leader="none"/>
          <w:tab w:val="left" w:pos="4320" w:leader="none"/>
          <w:tab w:val="left" w:pos="6480" w:leader="none"/>
        </w:tabs>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2"/>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Payer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each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Option and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Yield Factor (as defined in Schedule 1 to the Trust Agreement) applicable to Series 4</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Not 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Compounding:</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Inapplicable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bl>
    <w:p>
      <w:pPr>
        <w:pStyle w:val="BodyText2"/>
        <w:widowControl/>
        <w:tabs>
          <w:tab w:val="left" w:pos="90" w:leader="none"/>
          <w:tab w:val="left" w:pos="2160" w:leader="none"/>
          <w:tab w:val="left" w:pos="4140" w:leader="none"/>
          <w:tab w:val="left" w:pos="4320" w:leader="none"/>
          <w:tab w:val="left" w:pos="6480" w:leader="none"/>
        </w:tabs>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3. 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4.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5. Governing Law:</w:t>
            </w:r>
          </w:p>
        </w:tc>
        <w:tc>
          <w:tcPr>
            <w:tcW w:w="4428" w:type="dxa"/>
            <w:tcBorders/>
          </w:tcPr>
          <w:p>
            <w:pPr>
              <w:pStyle w:val="Normal"/>
              <w:widowControl/>
              <w:spacing w:before="60" w:after="0"/>
              <w:jc w:val="both"/>
              <w:rPr>
                <w:sz w:val="20"/>
              </w:rPr>
            </w:pPr>
            <w:r>
              <w:rPr>
                <w:sz w:val="20"/>
              </w:rPr>
              <w:t>As set forth in the Agreement</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r>
        <w:br w:type="page"/>
      </w:r>
    </w:p>
    <w:p>
      <w:pPr>
        <w:pStyle w:val="Normal"/>
        <w:widowControl/>
        <w:jc w:val="both"/>
        <w:rPr>
          <w:sz w:val="20"/>
        </w:rPr>
      </w:pPr>
      <w:r>
        <w:rPr>
          <w:sz w:val="20"/>
        </w:rPr>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BRAZOS VPP LIMITED PARTNERSHIP</w:t>
      </w:r>
    </w:p>
    <w:p>
      <w:pPr>
        <w:pStyle w:val="Normal"/>
        <w:widowControl/>
        <w:jc w:val="both"/>
        <w:rPr>
          <w:sz w:val="20"/>
        </w:rPr>
      </w:pPr>
      <w:r>
        <w:rPr>
          <w:sz w:val="20"/>
        </w:rPr>
      </w:r>
    </w:p>
    <w:p>
      <w:pPr>
        <w:pStyle w:val="Normal"/>
        <w:widowControl/>
        <w:jc w:val="both"/>
        <w:rPr>
          <w:sz w:val="20"/>
        </w:rPr>
      </w:pPr>
      <w:r>
        <w:rPr>
          <w:sz w:val="20"/>
        </w:rPr>
        <w:t>BY:  AGAVE VPP, LLC, its General Partner</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sz w:val="20"/>
        </w:rPr>
      </w:pPr>
      <w:r>
        <w:rPr>
          <w:sz w:val="20"/>
        </w:rPr>
      </w:r>
    </w:p>
    <w:p>
      <w:pPr>
        <w:pStyle w:val="Normal"/>
        <w:widowControl/>
        <w:jc w:val="both"/>
        <w:rPr>
          <w:sz w:val="20"/>
        </w:rPr>
      </w:pPr>
      <w:r>
        <w:rPr>
          <w:sz w:val="20"/>
        </w:rPr>
      </w:r>
    </w:p>
    <w:p>
      <w:pPr>
        <w:pStyle w:val="Normal"/>
        <w:widowControl/>
        <w:jc w:val="center"/>
        <w:rPr>
          <w:b/>
          <w:bCs/>
          <w:sz w:val="20"/>
        </w:rPr>
      </w:pPr>
      <w:r>
        <w:rPr>
          <w:b/>
          <w:bCs/>
          <w:sz w:val="20"/>
        </w:rPr>
        <w:t>Exhibit I</w:t>
      </w:r>
    </w:p>
    <w:p>
      <w:pPr>
        <w:pStyle w:val="Normal"/>
        <w:widowControl/>
        <w:jc w:val="both"/>
        <w:rPr>
          <w:b/>
          <w:bCs/>
          <w:sz w:val="20"/>
        </w:rPr>
      </w:pPr>
      <w:r>
        <w:rPr>
          <w:b/>
          <w:bCs/>
          <w:sz w:val="20"/>
        </w:rPr>
      </w:r>
    </w:p>
    <w:p>
      <w:pPr>
        <w:pStyle w:val="Normal"/>
        <w:widowControl/>
        <w:jc w:val="both"/>
        <w:rPr>
          <w:b/>
          <w:bCs/>
          <w:sz w:val="20"/>
        </w:rPr>
      </w:pPr>
      <w:r>
        <w:rPr>
          <w:b/>
          <w:bCs/>
          <w:sz w:val="20"/>
        </w:rPr>
        <w:t>Calculation Periods</w:t>
        <w:tab/>
        <w:tab/>
        <w:tab/>
        <w:tab/>
        <w:t>Notional Amounts</w:t>
      </w:r>
    </w:p>
    <w:p>
      <w:pPr>
        <w:pStyle w:val="Normal"/>
        <w:widowControl/>
        <w:jc w:val="center"/>
        <w:rPr>
          <w:b/>
          <w:bCs/>
          <w:sz w:val="20"/>
        </w:rPr>
      </w:pPr>
      <w:r>
        <w:rPr>
          <w:b/>
          <w:bCs/>
          <w:sz w:val="20"/>
        </w:rPr>
      </w:r>
    </w:p>
    <w:tbl>
      <w:tblPr>
        <w:tblW w:w="7600" w:type="dxa"/>
        <w:jc w:val="start"/>
        <w:tblInd w:w="0" w:type="dxa"/>
        <w:tblLayout w:type="fixed"/>
        <w:tblCellMar>
          <w:top w:w="15" w:type="dxa"/>
          <w:start w:w="15" w:type="dxa"/>
          <w:bottom w:w="0" w:type="dxa"/>
          <w:end w:w="15" w:type="dxa"/>
        </w:tblCellMar>
      </w:tblPr>
      <w:tblGrid>
        <w:gridCol w:w="1365"/>
        <w:gridCol w:w="1332"/>
        <w:gridCol w:w="1340"/>
        <w:gridCol w:w="1643"/>
        <w:gridCol w:w="960"/>
        <w:gridCol w:w="960"/>
      </w:tblGrid>
      <w:tr>
        <w:trPr>
          <w:trHeight w:val="510" w:hRule="atLeast"/>
        </w:trPr>
        <w:tc>
          <w:tcPr>
            <w:tcW w:w="1365" w:type="dxa"/>
            <w:tcBorders/>
            <w:vAlign w:val="bottom"/>
          </w:tcPr>
          <w:p>
            <w:pPr>
              <w:pStyle w:val="Normal"/>
              <w:jc w:val="center"/>
              <w:rPr>
                <w:rFonts w:ascii="Arial" w:hAnsi="Arial" w:eastAsia="Arial Unicode MS" w:cs="Arial"/>
                <w:sz w:val="20"/>
              </w:rPr>
            </w:pPr>
            <w:r>
              <w:rPr>
                <w:rFonts w:cs="Arial" w:ascii="Arial" w:hAnsi="Arial"/>
                <w:sz w:val="20"/>
              </w:rPr>
              <w:t>From and Including</w:t>
            </w:r>
          </w:p>
        </w:tc>
        <w:tc>
          <w:tcPr>
            <w:tcW w:w="1332" w:type="dxa"/>
            <w:tcBorders/>
            <w:vAlign w:val="bottom"/>
          </w:tcPr>
          <w:p>
            <w:pPr>
              <w:pStyle w:val="Normal"/>
              <w:jc w:val="center"/>
              <w:rPr>
                <w:rFonts w:ascii="Arial" w:hAnsi="Arial" w:eastAsia="Arial Unicode MS" w:cs="Arial"/>
                <w:sz w:val="20"/>
              </w:rPr>
            </w:pPr>
            <w:r>
              <w:rPr>
                <w:rFonts w:cs="Arial" w:ascii="Arial" w:hAnsi="Arial"/>
                <w:sz w:val="20"/>
              </w:rPr>
              <w:t>To and Excluding</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43" w:type="dxa"/>
            <w:tcBorders/>
            <w:vAlign w:val="bottom"/>
          </w:tcPr>
          <w:p>
            <w:pPr>
              <w:pStyle w:val="Normal"/>
              <w:jc w:val="center"/>
              <w:rPr>
                <w:rFonts w:ascii="Arial" w:hAnsi="Arial" w:eastAsia="Arial Unicode MS" w:cs="Arial"/>
                <w:sz w:val="20"/>
              </w:rPr>
            </w:pPr>
            <w:r>
              <w:rPr>
                <w:rFonts w:cs="Arial" w:ascii="Arial" w:hAnsi="Arial"/>
                <w:sz w:val="20"/>
              </w:rPr>
              <w:t>Notional Amount</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32"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43"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Effective Date</w:t>
            </w:r>
          </w:p>
        </w:tc>
        <w:tc>
          <w:tcPr>
            <w:tcW w:w="1332" w:type="dxa"/>
            <w:tcBorders/>
            <w:vAlign w:val="bottom"/>
          </w:tcPr>
          <w:p>
            <w:pPr>
              <w:pStyle w:val="Normal"/>
              <w:jc w:val="end"/>
              <w:rPr>
                <w:rFonts w:ascii="Arial" w:hAnsi="Arial" w:eastAsia="Arial Unicode MS" w:cs="Arial"/>
                <w:sz w:val="20"/>
              </w:rPr>
            </w:pPr>
            <w:r>
              <w:rPr>
                <w:rFonts w:eastAsia="Arial Unicode MS" w:cs="Arial" w:ascii="Arial" w:hAnsi="Arial"/>
                <w:sz w:val="20"/>
              </w:rPr>
              <w:t>07/31/01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43"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07/31/01</w:t>
            </w:r>
          </w:p>
        </w:tc>
        <w:tc>
          <w:tcPr>
            <w:tcW w:w="1332"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43"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bl>
    <w:p>
      <w:pPr>
        <w:pStyle w:val="Normal"/>
        <w:widowControl/>
        <w:rPr/>
      </w:pPr>
      <w:r>
        <w:rPr/>
      </w:r>
    </w:p>
    <w:p>
      <w:pPr>
        <w:pStyle w:val="Normal"/>
        <w:widowControl/>
        <w:rPr>
          <w:b/>
          <w:bCs/>
        </w:rPr>
      </w:pPr>
      <w:r>
        <w:rPr>
          <w:b/>
          <w:bCs/>
        </w:rPr>
        <w:t>[EXHIBIT TO BE PREPARED BY LAUREL ADAMS THROUGH DECEMBER 31, 2005 AND APPROVED BY HUDLER, MELENDREZ AND SHAHI]</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/mnt/main-storage/datasets/enron-docs/doc/Brazos_Interest_Rate_Swap_KCS_2.doc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/mnt/main-storage/datasets/enron-docs/doc/Brazos_Interest_Rate_Swap_KCS_2.doc</w:t>
    </w:r>
    <w:r>
      <w:rPr>
        <w:rStyle w:val="PageNumber"/>
        <w:sz w:val="18"/>
      </w:rPr>
      <w:fldChar w:fldCharType="end"/>
    </w:r>
  </w:p>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/mnt/main-storage/datasets/enron-docs/doc/Brazos_Interest_Rate_Swap_KCS_2.doc</w:t>
    </w:r>
    <w:r>
      <w:rP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/mnt/main-storage/datasets/enron-docs/doc/Brazos_Interest_Rate_Swap_KCS_2.doc</w:t>
    </w:r>
    <w:r>
      <w:rPr>
        <w:rStyle w:val="PageNumber"/>
        <w:sz w:val="18"/>
      </w:rPr>
      <w:fldChar w:fldCharType="end"/>
    </w:r>
  </w:p>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2001-05-30T10:57:00Z</dcterms:created>
  <dc:creator>ECT</dc:creator>
  <dc:description/>
  <dc:language>en-CA</dc:language>
  <cp:lastModifiedBy>mcook</cp:lastModifiedBy>
  <cp:lastPrinted>2001-05-31T08:28:00Z</cp:lastPrinted>
  <dcterms:modified xsi:type="dcterms:W3CDTF">2001-05-31T11:00:00Z</dcterms:modified>
  <cp:revision>10</cp:revision>
  <dc:subject/>
  <dc:title> 1400 Smith  Houston, TX 77002 (713) 853-3300 Fax (713) 646-4816</dc:title>
</cp:coreProperties>
</file>