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0"/>
              </w:rPr>
            </w:pPr>
            <w:r>
              <w:rPr>
                <w:sz w:val="20"/>
              </w:rPr>
              <w:drawing>
                <wp:inline distT="0" distB="0" distL="0" distR="0">
                  <wp:extent cx="1085215" cy="10782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5215" cy="1078230"/>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0"/>
              </w:rPr>
            </w:pPr>
            <w:r>
              <w:rPr>
                <w:b/>
                <w:sz w:val="20"/>
              </w:rPr>
              <w:t>Enron North America Corp</w:t>
            </w:r>
          </w:p>
          <w:p>
            <w:pPr>
              <w:pStyle w:val="Normal"/>
              <w:tabs>
                <w:tab w:val="clear" w:pos="720"/>
                <w:tab w:val="left" w:pos="2412" w:leader="none"/>
              </w:tabs>
              <w:ind w:start="1782" w:end="0"/>
              <w:jc w:val="end"/>
              <w:rPr>
                <w:sz w:val="20"/>
              </w:rPr>
            </w:pPr>
            <w:r>
              <w:rPr>
                <w:i/>
                <w:sz w:val="20"/>
              </w:rPr>
              <w:t>P.O. Box 4428</w:t>
            </w:r>
          </w:p>
          <w:p>
            <w:pPr>
              <w:pStyle w:val="Normal"/>
              <w:tabs>
                <w:tab w:val="clear" w:pos="720"/>
                <w:tab w:val="left" w:pos="2412" w:leader="none"/>
              </w:tabs>
              <w:ind w:start="1782" w:end="0"/>
              <w:jc w:val="end"/>
              <w:rPr>
                <w:sz w:val="20"/>
              </w:rPr>
            </w:pPr>
            <w:r>
              <w:rPr>
                <w:i/>
                <w:sz w:val="20"/>
              </w:rPr>
              <w:t>Houston, TX  77210-4428</w:t>
            </w:r>
          </w:p>
          <w:p>
            <w:pPr>
              <w:pStyle w:val="Normal"/>
              <w:tabs>
                <w:tab w:val="clear" w:pos="720"/>
                <w:tab w:val="left" w:pos="2412" w:leader="none"/>
              </w:tabs>
              <w:ind w:start="1782" w:end="0"/>
              <w:jc w:val="end"/>
              <w:rPr>
                <w:sz w:val="20"/>
              </w:rPr>
            </w:pPr>
            <w:r>
              <w:rPr>
                <w:i/>
                <w:sz w:val="20"/>
              </w:rPr>
              <w:t>Phone: (713) 853-3300</w:t>
            </w:r>
          </w:p>
          <w:p>
            <w:pPr>
              <w:pStyle w:val="Normal"/>
              <w:tabs>
                <w:tab w:val="clear" w:pos="720"/>
                <w:tab w:val="left" w:pos="2412" w:leader="none"/>
              </w:tabs>
              <w:ind w:start="1782" w:end="0"/>
              <w:jc w:val="end"/>
              <w:rPr>
                <w:i/>
                <w:i/>
                <w:sz w:val="20"/>
              </w:rPr>
            </w:pPr>
            <w:r>
              <w:rPr>
                <w:i/>
                <w:sz w:val="20"/>
              </w:rPr>
              <w:t>Fax:  (713) 646-4816</w:t>
            </w:r>
          </w:p>
          <w:p>
            <w:pPr>
              <w:pStyle w:val="Normal"/>
              <w:tabs>
                <w:tab w:val="clear" w:pos="720"/>
                <w:tab w:val="left" w:pos="2412" w:leader="none"/>
              </w:tabs>
              <w:ind w:start="1782" w:end="0"/>
              <w:rPr>
                <w:i/>
                <w:i/>
                <w:sz w:val="20"/>
              </w:rPr>
            </w:pPr>
            <w:r>
              <w:rPr>
                <w:i/>
                <w:sz w:val="20"/>
              </w:rPr>
            </w:r>
          </w:p>
        </w:tc>
      </w:tr>
    </w:tbl>
    <w:p>
      <w:pPr>
        <w:pStyle w:val="Caption"/>
        <w:widowControl/>
        <w:ind w:firstLine="720" w:start="720" w:end="0"/>
        <w:rPr>
          <w:sz w:val="20"/>
        </w:rPr>
      </w:pPr>
      <w:r>
        <w:rPr>
          <w:sz w:val="20"/>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46685"/>
                        </a:xfrm>
                        <a:prstGeom prst="rect"/>
                        <a:solidFill>
                          <a:srgbClr val="FFFFFF">
                            <a:alpha val="0"/>
                          </a:srgbClr>
                        </a:solidFill>
                      </wps:spPr>
                      <wps:txbx>
                        <w:txbxContent>
                          <w:p>
                            <w:pPr>
                              <w:pStyle w:val="Normal"/>
                              <w:widowControl/>
                              <w:ind w:start="1800" w:end="0"/>
                              <w:jc w:val="center"/>
                              <w:rPr>
                                <w:sz w:val="20"/>
                              </w:rPr>
                            </w:pPr>
                            <w:r>
                              <w:rPr>
                                <w:sz w:val="20"/>
                              </w:rPr>
                            </w:r>
                          </w:p>
                        </w:txbxContent>
                      </wps:txbx>
                      <wps:bodyPr anchor="t" lIns="0" tIns="0" rIns="0" bIns="0">
                        <a:noAutofit/>
                      </wps:bodyPr>
                    </wps:wsp>
                  </a:graphicData>
                </a:graphic>
              </wp:anchor>
            </w:drawing>
          </mc:Choice>
          <mc:Fallback>
            <w:pict>
              <v:rect fillcolor="#FFFFFF" style="position:absolute;rotation:-0;width:91.15pt;height:11.5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ind w:start="1800" w:end="0"/>
                        <w:jc w:val="center"/>
                        <w:rPr>
                          <w:sz w:val="20"/>
                        </w:rPr>
                      </w:pPr>
                      <w:r>
                        <w:rPr>
                          <w:sz w:val="20"/>
                        </w:rPr>
                      </w:r>
                    </w:p>
                  </w:txbxContent>
                </v:textbox>
                <w10:wrap type="square"/>
              </v:rect>
            </w:pict>
          </mc:Fallback>
        </mc:AlternateContent>
      </w:r>
    </w:p>
    <w:p>
      <w:pPr>
        <w:pStyle w:val="Normal"/>
        <w:widowControl/>
        <w:rPr>
          <w:b/>
          <w:sz w:val="20"/>
          <w:u w:val="single"/>
        </w:rPr>
      </w:pPr>
      <w:r>
        <w:rPr>
          <w:b/>
          <w:sz w:val="20"/>
          <w:u w:val="single"/>
        </w:rPr>
      </w:r>
    </w:p>
    <w:p>
      <w:pPr>
        <w:pStyle w:val="Normal"/>
        <w:widowControl/>
        <w:rPr>
          <w:b/>
          <w:sz w:val="20"/>
          <w:u w:val="single"/>
        </w:rPr>
      </w:pPr>
      <w:r>
        <w:rPr>
          <w:b/>
          <w:sz w:val="20"/>
          <w:u w:val="single"/>
        </w:rPr>
      </w:r>
    </w:p>
    <w:p>
      <w:pPr>
        <w:pStyle w:val="Normal"/>
        <w:widowControl/>
        <w:jc w:val="both"/>
        <w:rPr>
          <w:sz w:val="20"/>
        </w:rPr>
      </w:pPr>
      <w:r>
        <w:rPr>
          <w:sz w:val="20"/>
        </w:rPr>
        <w:t>Date:</w:t>
        <w:tab/>
        <w:tab/>
        <w:t>December __, 2000</w:t>
      </w:r>
    </w:p>
    <w:p>
      <w:pPr>
        <w:pStyle w:val="Normal"/>
        <w:widowControl/>
        <w:jc w:val="both"/>
        <w:rPr>
          <w:sz w:val="20"/>
        </w:rPr>
      </w:pPr>
      <w:r>
        <w:rPr>
          <w:sz w:val="20"/>
        </w:rPr>
      </w:r>
    </w:p>
    <w:p>
      <w:pPr>
        <w:pStyle w:val="Normal"/>
        <w:widowControl/>
        <w:jc w:val="both"/>
        <w:rPr>
          <w:sz w:val="20"/>
        </w:rPr>
      </w:pPr>
      <w:r>
        <w:rPr>
          <w:sz w:val="20"/>
        </w:rPr>
        <w:t xml:space="preserve">To: </w:t>
        <w:tab/>
        <w:tab/>
        <w:t>Brazos VPP Limited Partnership (“Party B”)</w:t>
      </w:r>
    </w:p>
    <w:p>
      <w:pPr>
        <w:pStyle w:val="Normal"/>
        <w:widowControl/>
        <w:jc w:val="both"/>
        <w:rPr>
          <w:sz w:val="20"/>
        </w:rPr>
      </w:pPr>
      <w:r>
        <w:rPr>
          <w:sz w:val="20"/>
        </w:rPr>
      </w:r>
    </w:p>
    <w:p>
      <w:pPr>
        <w:pStyle w:val="Normal"/>
        <w:widowControl/>
        <w:jc w:val="both"/>
        <w:rPr>
          <w:sz w:val="20"/>
        </w:rPr>
      </w:pPr>
      <w:r>
        <w:rPr>
          <w:sz w:val="20"/>
        </w:rPr>
        <w:t>From:</w:t>
        <w:tab/>
        <w:tab/>
        <w:t>Enron North America Corp. (“Party A”)</w:t>
      </w:r>
    </w:p>
    <w:p>
      <w:pPr>
        <w:pStyle w:val="Normal"/>
        <w:widowControl/>
        <w:jc w:val="both"/>
        <w:rPr>
          <w:sz w:val="20"/>
        </w:rPr>
      </w:pPr>
      <w:r>
        <w:rPr>
          <w:sz w:val="20"/>
        </w:rPr>
      </w:r>
    </w:p>
    <w:p>
      <w:pPr>
        <w:pStyle w:val="Normal"/>
        <w:widowControl/>
        <w:jc w:val="both"/>
        <w:rPr>
          <w:color w:val="FF0000"/>
          <w:sz w:val="20"/>
        </w:rPr>
      </w:pPr>
      <w:r>
        <w:rPr>
          <w:sz w:val="20"/>
        </w:rPr>
        <w:t>RE:</w:t>
        <w:tab/>
        <w:tab/>
        <w:t xml:space="preserve">Swap Transaction </w:t>
      </w:r>
    </w:p>
    <w:p>
      <w:pPr>
        <w:pStyle w:val="Normal"/>
        <w:widowControl/>
        <w:jc w:val="both"/>
        <w:rPr>
          <w:color w:val="FF0000"/>
          <w:sz w:val="20"/>
        </w:rPr>
      </w:pPr>
      <w:r>
        <w:rPr>
          <w:color w:val="FF0000"/>
          <w:sz w:val="20"/>
        </w:rPr>
      </w:r>
    </w:p>
    <w:p>
      <w:pPr>
        <w:pStyle w:val="Normal"/>
        <w:widowControl/>
        <w:jc w:val="both"/>
        <w:rPr>
          <w:sz w:val="20"/>
        </w:rPr>
      </w:pPr>
      <w:r>
        <w:rPr>
          <w:sz w:val="20"/>
        </w:rPr>
        <w:t>The purpose of this letter agreement (this “Confirmation”) is to confirm the terms and conditions of the transaction entered into between us on the date specified above (the “Transaction”). This Confirmation constitutes a “Confirmation” as referred to in the ISDA Master Agreement specified below.</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1.</w:t>
        <w:tab/>
        <w:t>This Confirmation supplements, forms part of, and is subject to, the ISDA Master Agreement dated as of December __, 2000 as amended and supplemented from time to time (the “Agreement”), between you and us.  All provisions contained in the Agreement govern this Confirmation except as expressly modified below.</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2.</w:t>
        <w:tab/>
        <w:t>The terms of the particular Transaction to which this Confirmation relates are as follows:</w:t>
      </w:r>
    </w:p>
    <w:p>
      <w:pPr>
        <w:pStyle w:val="Normal"/>
        <w:widowControl/>
        <w:jc w:val="both"/>
        <w:rPr>
          <w:sz w:val="20"/>
        </w:rPr>
      </w:pPr>
      <w:r>
        <w:rPr>
          <w:sz w:val="20"/>
        </w:rPr>
      </w:r>
    </w:p>
    <w:p>
      <w:pPr>
        <w:pStyle w:val="BodyText2"/>
        <w:widowControl/>
        <w:ind w:start="0" w:end="0"/>
        <w:rPr>
          <w:b/>
        </w:rPr>
      </w:pPr>
      <w:r>
        <w:rPr>
          <w:b/>
        </w:rPr>
        <w:t>General Terms:</w:t>
        <w:tab/>
      </w:r>
    </w:p>
    <w:p>
      <w:pPr>
        <w:pStyle w:val="BodyText2"/>
        <w:widowControl/>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2"/>
              <w:widowControl/>
              <w:tabs>
                <w:tab w:val="clear" w:pos="90"/>
                <w:tab w:val="left" w:pos="630" w:leader="none"/>
                <w:tab w:val="left" w:pos="2160" w:leader="none"/>
                <w:tab w:val="left" w:pos="4140" w:leader="none"/>
                <w:tab w:val="left" w:pos="6480" w:leader="none"/>
              </w:tabs>
              <w:ind w:firstLine="720" w:start="0" w:end="0"/>
              <w:rPr/>
            </w:pPr>
            <w:r>
              <w:rPr/>
              <w:t xml:space="preserve">Notional Amount: </w:t>
            </w:r>
          </w:p>
        </w:tc>
        <w:tc>
          <w:tcPr>
            <w:tcW w:w="4428" w:type="dxa"/>
            <w:tcBorders/>
          </w:tcPr>
          <w:p>
            <w:pPr>
              <w:pStyle w:val="Normal"/>
              <w:jc w:val="both"/>
              <w:rPr>
                <w:sz w:val="20"/>
              </w:rPr>
            </w:pPr>
            <w:r>
              <w:rPr>
                <w:sz w:val="20"/>
              </w:rPr>
              <w:t>For each Calculation Period, the amount set forth in Exhibit I attached hereto opposite such Payment Date and under the heading ‘Notional Amount’</w:t>
            </w:r>
          </w:p>
        </w:tc>
      </w:tr>
      <w:tr>
        <w:trPr/>
        <w:tc>
          <w:tcPr>
            <w:tcW w:w="4428" w:type="dxa"/>
            <w:tcBorders/>
          </w:tcPr>
          <w:p>
            <w:pPr>
              <w:pStyle w:val="BodyText2"/>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630" w:leader="none"/>
                <w:tab w:val="left" w:pos="2160" w:leader="none"/>
                <w:tab w:val="left" w:pos="4140" w:leader="none"/>
                <w:tab w:val="left" w:pos="6480" w:leader="none"/>
              </w:tabs>
              <w:ind w:firstLine="720" w:start="0" w:end="0"/>
              <w:rPr/>
            </w:pPr>
            <w:r>
              <w:rPr/>
              <w:t>Effective Date:</w:t>
              <w:tab/>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December __, 2000</w:t>
            </w:r>
          </w:p>
        </w:tc>
      </w:tr>
      <w:tr>
        <w:trPr/>
        <w:tc>
          <w:tcPr>
            <w:tcW w:w="4428" w:type="dxa"/>
            <w:tcBorders/>
          </w:tcPr>
          <w:p>
            <w:pPr>
              <w:pStyle w:val="BodyText2"/>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630" w:leader="none"/>
                <w:tab w:val="left" w:pos="2160" w:leader="none"/>
                <w:tab w:val="left" w:pos="4140" w:leader="none"/>
                <w:tab w:val="left" w:pos="6480" w:leader="none"/>
              </w:tabs>
              <w:ind w:firstLine="720" w:start="0" w:end="0"/>
              <w:rPr/>
            </w:pPr>
            <w:r>
              <w:rPr/>
              <w:t>Termination Date:</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August 31, 2008</w:t>
            </w:r>
          </w:p>
        </w:tc>
      </w:tr>
      <w:tr>
        <w:trPr/>
        <w:tc>
          <w:tcPr>
            <w:tcW w:w="4428" w:type="dxa"/>
            <w:tcBorders/>
          </w:tcPr>
          <w:p>
            <w:pPr>
              <w:pStyle w:val="BodyText2"/>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630" w:leader="none"/>
                <w:tab w:val="left" w:pos="2160" w:leader="none"/>
                <w:tab w:val="left" w:pos="4140" w:leader="none"/>
                <w:tab w:val="left" w:pos="6480" w:leader="none"/>
              </w:tabs>
              <w:ind w:firstLine="720" w:start="0" w:end="0"/>
              <w:rPr/>
            </w:pPr>
            <w:r>
              <w:rPr/>
              <w:t>Calculation Period:</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Each calendar month beginning with December __, 2000 and ending on August 31, 2008</w:t>
            </w:r>
          </w:p>
        </w:tc>
      </w:tr>
    </w:tbl>
    <w:p>
      <w:pPr>
        <w:pStyle w:val="BodyText2"/>
        <w:widowControl/>
        <w:tabs>
          <w:tab w:val="left" w:pos="90" w:leader="none"/>
          <w:tab w:val="left" w:pos="2160" w:leader="none"/>
          <w:tab w:val="left" w:pos="4140" w:leader="none"/>
          <w:tab w:val="left" w:pos="4320" w:leader="none"/>
          <w:tab w:val="left" w:pos="6480" w:leader="none"/>
        </w:tabs>
        <w:ind w:hanging="720" w:start="0" w:end="0"/>
        <w:rPr/>
      </w:pPr>
      <w:r>
        <w:rPr/>
      </w:r>
    </w:p>
    <w:p>
      <w:pPr>
        <w:pStyle w:val="BodyText2"/>
        <w:widowControl/>
        <w:tabs>
          <w:tab w:val="left" w:pos="90" w:leader="none"/>
          <w:tab w:val="left" w:pos="2160" w:leader="none"/>
          <w:tab w:val="left" w:pos="4140" w:leader="none"/>
          <w:tab w:val="left" w:pos="4320" w:leader="none"/>
          <w:tab w:val="left" w:pos="6480" w:leader="none"/>
        </w:tabs>
        <w:ind w:start="-90" w:end="0"/>
        <w:rPr>
          <w:b/>
        </w:rPr>
      </w:pPr>
      <w:r>
        <w:rPr>
          <w:b/>
        </w:rPr>
      </w:r>
    </w:p>
    <w:p>
      <w:pPr>
        <w:pStyle w:val="BodyText2"/>
        <w:widowControl/>
        <w:tabs>
          <w:tab w:val="left" w:pos="90" w:leader="none"/>
          <w:tab w:val="left" w:pos="2160" w:leader="none"/>
          <w:tab w:val="left" w:pos="4140" w:leader="none"/>
          <w:tab w:val="left" w:pos="4320" w:leader="none"/>
          <w:tab w:val="left" w:pos="6480" w:leader="none"/>
        </w:tabs>
        <w:ind w:start="-90" w:end="0"/>
        <w:rPr>
          <w:b/>
        </w:rPr>
      </w:pPr>
      <w:r>
        <w:rPr>
          <w:b/>
        </w:rPr>
        <w:t xml:space="preserve">Fixed Amounts: </w:t>
      </w:r>
    </w:p>
    <w:p>
      <w:pPr>
        <w:pStyle w:val="BodyText2"/>
        <w:widowControl/>
        <w:tabs>
          <w:tab w:val="left" w:pos="90" w:leader="none"/>
          <w:tab w:val="left" w:pos="2160" w:leader="none"/>
          <w:tab w:val="left" w:pos="4140" w:leader="none"/>
          <w:tab w:val="left" w:pos="6480" w:leader="none"/>
        </w:tabs>
        <w:ind w:hanging="720" w:start="0" w:end="0"/>
        <w:rPr/>
      </w:pPr>
      <w:r>
        <w:rPr/>
        <w:tab/>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2"/>
              <w:widowControl/>
              <w:tabs>
                <w:tab w:val="left" w:pos="90" w:leader="none"/>
                <w:tab w:val="left" w:pos="2160" w:leader="none"/>
                <w:tab w:val="left" w:pos="4140" w:leader="none"/>
                <w:tab w:val="left" w:pos="6480" w:leader="none"/>
              </w:tabs>
              <w:ind w:firstLine="720" w:start="0" w:end="0"/>
              <w:rPr/>
            </w:pPr>
            <w:r>
              <w:rPr/>
              <w:t>Fixed Rate Payer:</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Party B</w:t>
            </w:r>
          </w:p>
        </w:tc>
      </w:tr>
      <w:tr>
        <w:trPr/>
        <w:tc>
          <w:tcPr>
            <w:tcW w:w="4428" w:type="dxa"/>
            <w:tcBorders/>
          </w:tcPr>
          <w:p>
            <w:pPr>
              <w:pStyle w:val="BodyText2"/>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left" w:pos="90" w:leader="none"/>
                <w:tab w:val="left" w:pos="2160" w:leader="none"/>
                <w:tab w:val="left" w:pos="4140" w:leader="none"/>
                <w:tab w:val="left" w:pos="6480" w:leader="none"/>
              </w:tabs>
              <w:ind w:firstLine="720" w:start="0" w:end="0"/>
              <w:rPr/>
            </w:pPr>
            <w:r>
              <w:rPr/>
              <w:t xml:space="preserve">Fixed Rate Payer </w:t>
            </w:r>
          </w:p>
          <w:p>
            <w:pPr>
              <w:pStyle w:val="BodyText2"/>
              <w:widowControl/>
              <w:tabs>
                <w:tab w:val="left" w:pos="90" w:leader="none"/>
                <w:tab w:val="left" w:pos="2160" w:leader="none"/>
                <w:tab w:val="left" w:pos="4140" w:leader="none"/>
                <w:tab w:val="left" w:pos="6480" w:leader="none"/>
              </w:tabs>
              <w:ind w:firstLine="720" w:start="0" w:end="0"/>
              <w:rPr/>
            </w:pPr>
            <w:r>
              <w:rPr/>
              <w:t>Payment Dates:</w:t>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p>
            <w:pPr>
              <w:pStyle w:val="BodyText2"/>
              <w:widowControl/>
              <w:tabs>
                <w:tab w:val="left" w:pos="90" w:leader="none"/>
                <w:tab w:val="left" w:pos="2160" w:leader="none"/>
                <w:tab w:val="left" w:pos="4140" w:leader="none"/>
                <w:tab w:val="left" w:pos="6480" w:leader="none"/>
              </w:tabs>
              <w:ind w:start="0" w:end="0"/>
              <w:rPr/>
            </w:pPr>
            <w:r>
              <w:rPr/>
              <w:t>The last LIBOR Business Day (as defined in Schedule 1 to that certain Trust Agreement between Wilmington Trust Company and Enron Investor LLC dated as of December __, 2000 (the “Trust Agreement”)) of the month following each Calculation Period</w:t>
            </w:r>
          </w:p>
        </w:tc>
      </w:tr>
      <w:tr>
        <w:trPr/>
        <w:tc>
          <w:tcPr>
            <w:tcW w:w="4428" w:type="dxa"/>
            <w:tcBorders/>
          </w:tcPr>
          <w:p>
            <w:pPr>
              <w:pStyle w:val="BodyText2"/>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left" w:pos="90" w:leader="none"/>
                <w:tab w:val="left" w:pos="2160" w:leader="none"/>
                <w:tab w:val="left" w:pos="4140" w:leader="none"/>
                <w:tab w:val="left" w:pos="6480" w:leader="none"/>
              </w:tabs>
              <w:ind w:firstLine="720" w:start="0" w:end="0"/>
              <w:rPr/>
            </w:pPr>
            <w:r>
              <w:rPr/>
              <w:t>Fixed Rate:</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____ percent</w:t>
            </w:r>
          </w:p>
        </w:tc>
      </w:tr>
      <w:tr>
        <w:trPr/>
        <w:tc>
          <w:tcPr>
            <w:tcW w:w="4428" w:type="dxa"/>
            <w:tcBorders/>
          </w:tcPr>
          <w:p>
            <w:pPr>
              <w:pStyle w:val="BodyText2"/>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left" w:pos="90" w:leader="none"/>
                <w:tab w:val="left" w:pos="2160" w:leader="none"/>
                <w:tab w:val="left" w:pos="4140" w:leader="none"/>
                <w:tab w:val="left" w:pos="6480" w:leader="none"/>
              </w:tabs>
              <w:ind w:firstLine="720" w:start="0" w:end="0"/>
              <w:rPr/>
            </w:pPr>
            <w:r>
              <w:rPr/>
              <w:t xml:space="preserve">Fixed Rate </w:t>
            </w:r>
          </w:p>
          <w:p>
            <w:pPr>
              <w:pStyle w:val="BodyText2"/>
              <w:widowControl/>
              <w:tabs>
                <w:tab w:val="left" w:pos="90" w:leader="none"/>
                <w:tab w:val="left" w:pos="2160" w:leader="none"/>
                <w:tab w:val="left" w:pos="4140" w:leader="none"/>
                <w:tab w:val="left" w:pos="6480" w:leader="none"/>
              </w:tabs>
              <w:ind w:firstLine="720" w:start="0" w:end="0"/>
              <w:rPr/>
            </w:pPr>
            <w:r>
              <w:rPr/>
              <w:t xml:space="preserve">Day Count Fraction: </w:t>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p>
            <w:pPr>
              <w:pStyle w:val="BodyText2"/>
              <w:widowControl/>
              <w:tabs>
                <w:tab w:val="left" w:pos="90" w:leader="none"/>
                <w:tab w:val="left" w:pos="2160" w:leader="none"/>
                <w:tab w:val="left" w:pos="4140" w:leader="none"/>
                <w:tab w:val="left" w:pos="6480" w:leader="none"/>
              </w:tabs>
              <w:ind w:start="0" w:end="0"/>
              <w:rPr/>
            </w:pPr>
            <w:r>
              <w:rPr/>
              <w:t>Actual/360</w:t>
            </w:r>
          </w:p>
        </w:tc>
      </w:tr>
    </w:tbl>
    <w:p>
      <w:pPr>
        <w:pStyle w:val="BodyText2"/>
        <w:widowControl/>
        <w:tabs>
          <w:tab w:val="left" w:pos="90" w:leader="none"/>
          <w:tab w:val="left" w:pos="2160" w:leader="none"/>
          <w:tab w:val="left" w:pos="4140" w:leader="none"/>
          <w:tab w:val="left" w:pos="4320" w:leader="none"/>
          <w:tab w:val="left" w:pos="6480" w:leader="none"/>
        </w:tabs>
        <w:rPr>
          <w:b/>
        </w:rPr>
      </w:pPr>
      <w:r>
        <w:rPr>
          <w:b/>
        </w:rPr>
      </w:r>
    </w:p>
    <w:p>
      <w:pPr>
        <w:pStyle w:val="BodyText2"/>
        <w:widowControl/>
        <w:tabs>
          <w:tab w:val="left" w:pos="90" w:leader="none"/>
          <w:tab w:val="left" w:pos="2160" w:leader="none"/>
          <w:tab w:val="left" w:pos="4140" w:leader="none"/>
          <w:tab w:val="left" w:pos="4320" w:leader="none"/>
          <w:tab w:val="left" w:pos="6480" w:leader="none"/>
        </w:tabs>
        <w:ind w:start="0" w:end="0"/>
        <w:rPr/>
      </w:pPr>
      <w:r>
        <w:rPr>
          <w:b/>
        </w:rPr>
        <w:t>Floating Amounts:</w:t>
      </w:r>
      <w:r>
        <w:rPr/>
        <w:t xml:space="preserve"> </w:t>
      </w:r>
    </w:p>
    <w:p>
      <w:pPr>
        <w:pStyle w:val="BodyText2"/>
        <w:widowControl/>
        <w:tabs>
          <w:tab w:val="left" w:pos="90" w:leader="none"/>
          <w:tab w:val="left" w:pos="2160" w:leader="none"/>
          <w:tab w:val="left" w:pos="4140" w:leader="none"/>
          <w:tab w:val="left" w:pos="4320" w:leader="none"/>
          <w:tab w:val="left" w:pos="6480" w:leader="none"/>
        </w:tabs>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Floating Rate Payer:</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Party A</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 xml:space="preserve">Floating Rate Payer </w:t>
            </w:r>
          </w:p>
          <w:p>
            <w:pPr>
              <w:pStyle w:val="BodyText2"/>
              <w:widowControl/>
              <w:tabs>
                <w:tab w:val="clear" w:pos="90"/>
                <w:tab w:val="left" w:pos="0" w:leader="none"/>
                <w:tab w:val="left" w:pos="2160" w:leader="none"/>
                <w:tab w:val="left" w:pos="4140" w:leader="none"/>
                <w:tab w:val="left" w:pos="6480" w:leader="none"/>
              </w:tabs>
              <w:ind w:start="720" w:end="0"/>
              <w:jc w:val="start"/>
              <w:rPr/>
            </w:pPr>
            <w:r>
              <w:rPr/>
              <w:t>Payment Dates:</w:t>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p>
            <w:pPr>
              <w:pStyle w:val="BodyText2"/>
              <w:widowControl/>
              <w:tabs>
                <w:tab w:val="left" w:pos="90" w:leader="none"/>
                <w:tab w:val="left" w:pos="2160" w:leader="none"/>
                <w:tab w:val="left" w:pos="4140" w:leader="none"/>
                <w:tab w:val="left" w:pos="6480" w:leader="none"/>
              </w:tabs>
              <w:ind w:start="0" w:end="0"/>
              <w:rPr/>
            </w:pPr>
            <w:r>
              <w:rPr/>
              <w:t>The last LIBOR Business Day (as defined in Schedule 1 to the Trust Agreement) of the month following each Calculation Period</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 xml:space="preserve">Floating Rate Option and </w:t>
            </w:r>
          </w:p>
          <w:p>
            <w:pPr>
              <w:pStyle w:val="BodyText2"/>
              <w:widowControl/>
              <w:tabs>
                <w:tab w:val="clear" w:pos="90"/>
                <w:tab w:val="left" w:pos="0" w:leader="none"/>
                <w:tab w:val="left" w:pos="2160" w:leader="none"/>
                <w:tab w:val="left" w:pos="4140" w:leader="none"/>
                <w:tab w:val="left" w:pos="6480" w:leader="none"/>
              </w:tabs>
              <w:ind w:start="720" w:end="0"/>
              <w:jc w:val="start"/>
              <w:rPr/>
            </w:pPr>
            <w:r>
              <w:rPr/>
              <w:t>Designated Maturity:</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The Yield Factor (as defined in Schedule 1 to the Trust Agreement) applicable to Series 2</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Spread:</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Not applicable</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 xml:space="preserve">Floating Rate </w:t>
            </w:r>
          </w:p>
          <w:p>
            <w:pPr>
              <w:pStyle w:val="BodyText2"/>
              <w:widowControl/>
              <w:tabs>
                <w:tab w:val="clear" w:pos="90"/>
                <w:tab w:val="left" w:pos="0" w:leader="none"/>
                <w:tab w:val="left" w:pos="2160" w:leader="none"/>
                <w:tab w:val="left" w:pos="4140" w:leader="none"/>
                <w:tab w:val="left" w:pos="6480" w:leader="none"/>
              </w:tabs>
              <w:ind w:start="720" w:end="0"/>
              <w:jc w:val="start"/>
              <w:rPr/>
            </w:pPr>
            <w:r>
              <w:rPr/>
              <w:t xml:space="preserve">Day Count Fraction: </w:t>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p>
            <w:pPr>
              <w:pStyle w:val="BodyText2"/>
              <w:widowControl/>
              <w:tabs>
                <w:tab w:val="left" w:pos="90" w:leader="none"/>
                <w:tab w:val="left" w:pos="2160" w:leader="none"/>
                <w:tab w:val="left" w:pos="4140" w:leader="none"/>
                <w:tab w:val="left" w:pos="6480" w:leader="none"/>
              </w:tabs>
              <w:ind w:start="0" w:end="0"/>
              <w:rPr/>
            </w:pPr>
            <w:r>
              <w:rPr/>
              <w:t>Actual/360</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Reset Dates:</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The first day of each Floating Rate Payer Calculation Period</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Compounding:</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Inapplicable</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bl>
    <w:p>
      <w:pPr>
        <w:pStyle w:val="BodyText2"/>
        <w:widowControl/>
        <w:tabs>
          <w:tab w:val="left" w:pos="90" w:leader="none"/>
          <w:tab w:val="left" w:pos="2160" w:leader="none"/>
          <w:tab w:val="left" w:pos="4140" w:leader="none"/>
          <w:tab w:val="left" w:pos="4320" w:leader="none"/>
          <w:tab w:val="left" w:pos="6480" w:leader="none"/>
        </w:tabs>
        <w:rPr/>
      </w:pPr>
      <w:r>
        <w:rPr/>
        <w:tab/>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widowControl/>
              <w:snapToGrid w:val="false"/>
              <w:spacing w:before="60" w:after="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jc w:val="both"/>
              <w:rPr>
                <w:sz w:val="20"/>
              </w:rPr>
            </w:pPr>
            <w:r>
              <w:rPr>
                <w:sz w:val="20"/>
              </w:rPr>
              <w:t>3. Calculation Agent:</w:t>
            </w:r>
          </w:p>
        </w:tc>
        <w:tc>
          <w:tcPr>
            <w:tcW w:w="4428" w:type="dxa"/>
            <w:tcBorders/>
          </w:tcPr>
          <w:p>
            <w:pPr>
              <w:pStyle w:val="Normal"/>
              <w:widowControl/>
              <w:spacing w:before="60" w:after="0"/>
              <w:jc w:val="both"/>
              <w:rPr>
                <w:sz w:val="20"/>
              </w:rPr>
            </w:pPr>
            <w:r>
              <w:rPr>
                <w:sz w:val="20"/>
              </w:rPr>
              <w:t>Party A</w:t>
            </w:r>
          </w:p>
        </w:tc>
      </w:tr>
      <w:tr>
        <w:trPr/>
        <w:tc>
          <w:tcPr>
            <w:tcW w:w="4428" w:type="dxa"/>
            <w:tcBorders/>
          </w:tcPr>
          <w:p>
            <w:pPr>
              <w:pStyle w:val="Normal"/>
              <w:widowControl/>
              <w:snapToGrid w:val="false"/>
              <w:spacing w:before="60" w:after="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jc w:val="both"/>
              <w:rPr>
                <w:sz w:val="20"/>
              </w:rPr>
            </w:pPr>
            <w:r>
              <w:rPr>
                <w:sz w:val="20"/>
              </w:rPr>
              <w:t>4. Account Details:</w:t>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napToGrid w:val="false"/>
              <w:spacing w:before="60" w:after="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ind w:start="270" w:end="0"/>
              <w:jc w:val="both"/>
              <w:rPr>
                <w:sz w:val="20"/>
              </w:rPr>
            </w:pPr>
            <w:r>
              <w:rPr>
                <w:sz w:val="20"/>
              </w:rPr>
              <w:t>Payments to Party A:</w:t>
            </w:r>
          </w:p>
        </w:tc>
        <w:tc>
          <w:tcPr>
            <w:tcW w:w="4428" w:type="dxa"/>
            <w:tcBorders/>
          </w:tcPr>
          <w:p>
            <w:pPr>
              <w:pStyle w:val="Normal"/>
              <w:widowControl/>
              <w:spacing w:before="60" w:after="0"/>
              <w:jc w:val="both"/>
              <w:rPr>
                <w:sz w:val="20"/>
              </w:rPr>
            </w:pPr>
            <w:r>
              <w:rPr>
                <w:sz w:val="20"/>
              </w:rPr>
              <w:t>As set forth in the Agreement</w:t>
            </w:r>
          </w:p>
        </w:tc>
      </w:tr>
      <w:tr>
        <w:trPr/>
        <w:tc>
          <w:tcPr>
            <w:tcW w:w="4428" w:type="dxa"/>
            <w:tcBorders/>
          </w:tcPr>
          <w:p>
            <w:pPr>
              <w:pStyle w:val="Normal"/>
              <w:widowControl/>
              <w:snapToGrid w:val="false"/>
              <w:spacing w:before="60" w:after="0"/>
              <w:ind w:start="270" w:end="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ind w:start="270" w:end="0"/>
              <w:jc w:val="both"/>
              <w:rPr>
                <w:sz w:val="20"/>
              </w:rPr>
            </w:pPr>
            <w:r>
              <w:rPr>
                <w:sz w:val="20"/>
              </w:rPr>
              <w:t>Payments to Party B:</w:t>
            </w:r>
          </w:p>
        </w:tc>
        <w:tc>
          <w:tcPr>
            <w:tcW w:w="4428" w:type="dxa"/>
            <w:tcBorders/>
          </w:tcPr>
          <w:p>
            <w:pPr>
              <w:pStyle w:val="Normal"/>
              <w:widowControl/>
              <w:spacing w:before="60" w:after="0"/>
              <w:jc w:val="both"/>
              <w:rPr>
                <w:sz w:val="20"/>
              </w:rPr>
            </w:pPr>
            <w:r>
              <w:rPr>
                <w:sz w:val="20"/>
              </w:rPr>
              <w:t>As set forth in the Agreement</w:t>
            </w:r>
          </w:p>
        </w:tc>
      </w:tr>
      <w:tr>
        <w:trPr/>
        <w:tc>
          <w:tcPr>
            <w:tcW w:w="4428" w:type="dxa"/>
            <w:tcBorders/>
          </w:tcPr>
          <w:p>
            <w:pPr>
              <w:pStyle w:val="Normal"/>
              <w:widowControl/>
              <w:snapToGrid w:val="false"/>
              <w:spacing w:before="60" w:after="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jc w:val="both"/>
              <w:rPr>
                <w:sz w:val="20"/>
              </w:rPr>
            </w:pPr>
            <w:r>
              <w:rPr>
                <w:sz w:val="20"/>
              </w:rPr>
              <w:t>5. Governing Law</w:t>
            </w:r>
          </w:p>
        </w:tc>
        <w:tc>
          <w:tcPr>
            <w:tcW w:w="4428" w:type="dxa"/>
            <w:tcBorders/>
          </w:tcPr>
          <w:p>
            <w:pPr>
              <w:pStyle w:val="Normal"/>
              <w:widowControl/>
              <w:spacing w:before="60" w:after="0"/>
              <w:jc w:val="both"/>
              <w:rPr>
                <w:sz w:val="20"/>
              </w:rPr>
            </w:pPr>
            <w:r>
              <w:rPr>
                <w:sz w:val="20"/>
              </w:rPr>
              <w:t>As set forth in the Agreement</w:t>
            </w:r>
          </w:p>
        </w:tc>
      </w:tr>
    </w:tbl>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r>
        <w:br w:type="page"/>
      </w:r>
    </w:p>
    <w:p>
      <w:pPr>
        <w:pStyle w:val="Normal"/>
        <w:widowControl/>
        <w:jc w:val="both"/>
        <w:rPr>
          <w:sz w:val="20"/>
        </w:rPr>
      </w:pPr>
      <w:r>
        <w:rPr>
          <w:sz w:val="20"/>
        </w:rPr>
      </w:r>
    </w:p>
    <w:p>
      <w:pPr>
        <w:pStyle w:val="Normal"/>
        <w:widowControl/>
        <w:jc w:val="both"/>
        <w:rPr>
          <w:sz w:val="20"/>
        </w:rPr>
      </w:pPr>
      <w:r>
        <w:rPr>
          <w:sz w:val="20"/>
        </w:rPr>
        <w:t>Enron North America Corp. is pleased to have entered into this Transaction with you.</w:t>
      </w:r>
    </w:p>
    <w:p>
      <w:pPr>
        <w:pStyle w:val="Normal"/>
        <w:widowControl/>
        <w:jc w:val="both"/>
        <w:rPr>
          <w:sz w:val="20"/>
        </w:rPr>
      </w:pPr>
      <w:r>
        <w:rPr>
          <w:sz w:val="20"/>
        </w:rPr>
      </w:r>
    </w:p>
    <w:p>
      <w:pPr>
        <w:pStyle w:val="Normal"/>
        <w:widowControl/>
        <w:jc w:val="both"/>
        <w:rPr>
          <w:sz w:val="20"/>
        </w:rPr>
      </w:pPr>
      <w:r>
        <w:rPr>
          <w:sz w:val="20"/>
        </w:rPr>
      </w:r>
    </w:p>
    <w:p>
      <w:pPr>
        <w:pStyle w:val="Normal"/>
        <w:widowControl/>
        <w:ind w:firstLine="720" w:start="3600" w:end="0"/>
        <w:jc w:val="both"/>
        <w:rPr>
          <w:sz w:val="20"/>
        </w:rPr>
      </w:pPr>
      <w:r>
        <w:rPr>
          <w:sz w:val="20"/>
        </w:rPr>
        <w:t>Yours sincerely,</w:t>
      </w:r>
    </w:p>
    <w:p>
      <w:pPr>
        <w:pStyle w:val="Normal"/>
        <w:widowControl/>
        <w:jc w:val="both"/>
        <w:rPr>
          <w:sz w:val="20"/>
        </w:rPr>
      </w:pPr>
      <w:r>
        <w:rPr>
          <w:sz w:val="20"/>
        </w:rPr>
      </w:r>
    </w:p>
    <w:p>
      <w:pPr>
        <w:pStyle w:val="Normal"/>
        <w:widowControl/>
        <w:jc w:val="both"/>
        <w:rPr>
          <w:sz w:val="20"/>
        </w:rPr>
      </w:pPr>
      <w:r>
        <w:rPr>
          <w:sz w:val="20"/>
        </w:rPr>
        <w:tab/>
        <w:tab/>
        <w:tab/>
        <w:tab/>
        <w:tab/>
        <w:tab/>
        <w:t>ENRON NORTH AMERICA CORP.</w:t>
      </w:r>
    </w:p>
    <w:p>
      <w:pPr>
        <w:pStyle w:val="Normal"/>
        <w:widowControl/>
        <w:jc w:val="both"/>
        <w:rPr>
          <w:sz w:val="20"/>
        </w:rPr>
      </w:pPr>
      <w:r>
        <w:rPr>
          <w:sz w:val="20"/>
        </w:rPr>
      </w:r>
    </w:p>
    <w:p>
      <w:pPr>
        <w:pStyle w:val="Normal"/>
        <w:widowControl/>
        <w:jc w:val="both"/>
        <w:rPr>
          <w:sz w:val="20"/>
        </w:rPr>
      </w:pPr>
      <w:r>
        <w:rPr>
          <w:sz w:val="20"/>
        </w:rPr>
        <w:tab/>
        <w:tab/>
        <w:tab/>
        <w:tab/>
        <w:tab/>
        <w:tab/>
        <w:t>By:</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t>BRAZOS VPP LIMITED PARTNERSHIP</w:t>
      </w:r>
    </w:p>
    <w:p>
      <w:pPr>
        <w:pStyle w:val="Normal"/>
        <w:widowControl/>
        <w:jc w:val="both"/>
        <w:rPr>
          <w:sz w:val="20"/>
        </w:rPr>
      </w:pPr>
      <w:r>
        <w:rPr>
          <w:sz w:val="20"/>
        </w:rPr>
      </w:r>
    </w:p>
    <w:p>
      <w:pPr>
        <w:pStyle w:val="Normal"/>
        <w:widowControl/>
        <w:jc w:val="both"/>
        <w:rPr>
          <w:sz w:val="20"/>
        </w:rPr>
      </w:pPr>
      <w:r>
        <w:rPr>
          <w:sz w:val="20"/>
        </w:rPr>
        <w:t>BY:  AGAVE VPP, LLC, its General Partner</w:t>
      </w:r>
    </w:p>
    <w:p>
      <w:pPr>
        <w:pStyle w:val="Normal"/>
        <w:widowControl/>
        <w:jc w:val="both"/>
        <w:rPr>
          <w:sz w:val="20"/>
        </w:rPr>
      </w:pPr>
      <w:r>
        <w:rPr>
          <w:sz w:val="20"/>
        </w:rPr>
      </w:r>
    </w:p>
    <w:p>
      <w:pPr>
        <w:pStyle w:val="Normal"/>
        <w:widowControl/>
        <w:jc w:val="both"/>
        <w:rPr>
          <w:sz w:val="20"/>
        </w:rPr>
      </w:pPr>
      <w:r>
        <w:rPr>
          <w:sz w:val="20"/>
        </w:rPr>
        <w:t>By:  _____________________________</w:t>
      </w:r>
    </w:p>
    <w:p>
      <w:pPr>
        <w:pStyle w:val="Normal"/>
        <w:widowControl/>
        <w:jc w:val="both"/>
        <w:rPr>
          <w:sz w:val="20"/>
        </w:rPr>
      </w:pPr>
      <w:r>
        <w:rPr>
          <w:sz w:val="20"/>
        </w:rPr>
        <w:t>Name:  ___________________________</w:t>
      </w:r>
    </w:p>
    <w:p>
      <w:pPr>
        <w:pStyle w:val="Normal"/>
        <w:widowControl/>
        <w:jc w:val="both"/>
        <w:rPr>
          <w:sz w:val="20"/>
        </w:rPr>
      </w:pPr>
      <w:r>
        <w:rPr>
          <w:sz w:val="20"/>
        </w:rPr>
        <w:t>Title:  ____________________________</w:t>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jc w:val="both"/>
        <w:rPr>
          <w:sz w:val="20"/>
        </w:rPr>
      </w:pPr>
      <w:r>
        <w:rPr>
          <w:sz w:val="20"/>
        </w:rPr>
      </w:r>
    </w:p>
    <w:p>
      <w:pPr>
        <w:pStyle w:val="Normal"/>
        <w:widowControl/>
        <w:jc w:val="both"/>
        <w:rPr>
          <w:sz w:val="20"/>
        </w:rPr>
      </w:pPr>
      <w:r>
        <w:rPr>
          <w:sz w:val="20"/>
        </w:rPr>
      </w:r>
    </w:p>
    <w:p>
      <w:pPr>
        <w:pStyle w:val="Normal"/>
        <w:widowControl/>
        <w:jc w:val="center"/>
        <w:rPr>
          <w:b/>
          <w:bCs/>
          <w:sz w:val="20"/>
        </w:rPr>
      </w:pPr>
      <w:r>
        <w:rPr>
          <w:b/>
          <w:bCs/>
          <w:sz w:val="20"/>
        </w:rPr>
        <w:t>Exhibit I</w:t>
      </w:r>
    </w:p>
    <w:p>
      <w:pPr>
        <w:pStyle w:val="Normal"/>
        <w:widowControl/>
        <w:jc w:val="center"/>
        <w:rPr>
          <w:b/>
          <w:bCs/>
          <w:sz w:val="20"/>
        </w:rPr>
      </w:pPr>
      <w:r>
        <w:rPr>
          <w:b/>
          <w:bCs/>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b/>
                <w:bCs/>
                <w:sz w:val="20"/>
              </w:rPr>
            </w:pPr>
            <w:r>
              <w:rPr>
                <w:b/>
                <w:bCs/>
                <w:sz w:val="20"/>
              </w:rPr>
              <w:t>Calculation Period</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b/>
                <w:bCs/>
                <w:sz w:val="20"/>
              </w:rPr>
            </w:pPr>
            <w:r>
              <w:rPr>
                <w:b/>
                <w:bCs/>
                <w:sz w:val="20"/>
              </w:rPr>
              <w:t>Notional Amount</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b/>
                <w:bCs/>
                <w:sz w:val="20"/>
              </w:rPr>
            </w:pPr>
            <w:r>
              <w:rPr>
                <w:b/>
                <w:bCs/>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bl>
    <w:p>
      <w:pPr>
        <w:pStyle w:val="Normal"/>
        <w:widowControl/>
        <w:rPr/>
      </w:pPr>
      <w:r>
        <w:rPr/>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8"/>
      </w:rPr>
    </w:pPr>
    <w:r>
      <w:rPr>
        <w:sz w:val="18"/>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widowControl/>
      <w:rPr>
        <w:sz w:val="18"/>
      </w:rPr>
    </w:pPr>
    <w:r>
      <w:rPr>
        <w:sz w:val="18"/>
      </w:rPr>
      <w:fldChar w:fldCharType="begin"/>
    </w:r>
    <w:r>
      <w:rPr>
        <w:sz w:val="18"/>
      </w:rPr>
      <w:instrText xml:space="preserve"> FILENAME \p </w:instrText>
    </w:r>
    <w:r>
      <w:rPr>
        <w:sz w:val="18"/>
      </w:rPr>
      <w:fldChar w:fldCharType="separate"/>
    </w:r>
    <w:r>
      <w:rPr>
        <w:sz w:val="18"/>
      </w:rPr>
      <w:t>/mnt/main-storage/datasets/enron-docs/doc/Brazos_Interest_Rate_Swap_2.doc</w:t>
    </w:r>
    <w:r>
      <w:rPr>
        <w:sz w:val="18"/>
      </w:rPr>
      <w:fldChar w:fldCharType="end"/>
    </w:r>
  </w:p>
  <w:p>
    <w:pPr>
      <w:pStyle w:val="Footer"/>
      <w:widowControl/>
      <w:rPr>
        <w:sz w:val="18"/>
      </w:rPr>
    </w:pPr>
    <w:r>
      <w:rPr>
        <w:sz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
  </w:p>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/mnt/main-storage/datasets/enron-docs/doc/Brazos_Interest_Rate_Swap_2.doc</w:t>
    </w:r>
    <w:r>
      <w:rPr>
        <w:rStyle w:val="PageNumber"/>
        <w:sz w:val="18"/>
      </w:rPr>
      <w:fldChar w:fldCharType="end"/>
    </w:r>
  </w:p>
  <w:p>
    <w:pPr>
      <w:pStyle w:val="Footer"/>
      <w:jc w:val="center"/>
      <w:rPr>
        <w:rStyle w:val="PageNumber"/>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8"/>
      </w:rPr>
    </w:pPr>
    <w:r>
      <w:rPr>
        <w:sz w:val="18"/>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4" name="Frame3"/>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widowControl/>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widowControl/>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widowControl/>
      <w:rPr>
        <w:sz w:val="18"/>
      </w:rPr>
    </w:pPr>
    <w:r>
      <w:rPr>
        <w:sz w:val="18"/>
      </w:rPr>
      <w:fldChar w:fldCharType="begin"/>
    </w:r>
    <w:r>
      <w:rPr>
        <w:sz w:val="18"/>
      </w:rPr>
      <w:instrText xml:space="preserve"> FILENAME \p </w:instrText>
    </w:r>
    <w:r>
      <w:rPr>
        <w:sz w:val="18"/>
      </w:rPr>
      <w:fldChar w:fldCharType="separate"/>
    </w:r>
    <w:r>
      <w:rPr>
        <w:sz w:val="18"/>
      </w:rPr>
      <w:t>/mnt/main-storage/datasets/enron-docs/doc/Brazos_Interest_Rate_Swap_2.doc</w:t>
    </w:r>
    <w:r>
      <w:rPr>
        <w:sz w:val="18"/>
      </w:rPr>
      <w:fldChar w:fldCharType="end"/>
    </w:r>
  </w:p>
  <w:p>
    <w:pPr>
      <w:pStyle w:val="Footer"/>
      <w:widowControl/>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
  </w:p>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/mnt/main-storage/datasets/enron-docs/doc/Brazos_Interest_Rate_Swap_2.doc</w:t>
    </w:r>
    <w:r>
      <w:rPr>
        <w:rStyle w:val="PageNumber"/>
        <w:sz w:val="18"/>
      </w:rPr>
      <w:fldChar w:fldCharType="end"/>
    </w:r>
  </w:p>
  <w:p>
    <w:pPr>
      <w:pStyle w:val="Footer"/>
      <w:jc w:val="center"/>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16"/>
      </w:rPr>
    </w:pPr>
    <w:r>
      <w:rPr>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16"/>
      </w:rPr>
    </w:pPr>
    <w:r>
      <w:rPr>
        <w:sz w:val="16"/>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b/>
      <w:u w:val="single"/>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90" w:leader="none"/>
        <w:tab w:val="left" w:pos="2160" w:leader="none"/>
        <w:tab w:val="left" w:pos="6480" w:leader="none"/>
      </w:tabs>
      <w:ind w:hanging="0" w:start="-72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2000-12-21T21:03:00Z</dcterms:created>
  <dc:creator>ECT</dc:creator>
  <dc:description/>
  <dc:language>en-CA</dc:language>
  <cp:lastModifiedBy>mcook</cp:lastModifiedBy>
  <cp:lastPrinted>2000-12-21T18:11:00Z</cp:lastPrinted>
  <dcterms:modified xsi:type="dcterms:W3CDTF">2000-12-21T21:42:00Z</dcterms:modified>
  <cp:revision>11</cp:revision>
  <dc:subject/>
  <dc:title> 1400 Smith  Houston, TX 77002 (713) 853-3300 Fax (713) 646-4816</dc:title>
</cp:coreProperties>
</file>