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5215" cy="10782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5215" cy="1078230"/>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North America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t>December 27, 2000</w:t>
      </w:r>
    </w:p>
    <w:p>
      <w:pPr>
        <w:pStyle w:val="Normal"/>
        <w:widowControl/>
        <w:jc w:val="both"/>
        <w:rPr>
          <w:sz w:val="20"/>
        </w:rPr>
      </w:pPr>
      <w:r>
        <w:rPr>
          <w:sz w:val="20"/>
        </w:rPr>
      </w:r>
    </w:p>
    <w:p>
      <w:pPr>
        <w:pStyle w:val="Normal"/>
        <w:widowControl/>
        <w:jc w:val="both"/>
        <w:rPr>
          <w:sz w:val="20"/>
        </w:rPr>
      </w:pPr>
      <w:r>
        <w:rPr>
          <w:sz w:val="20"/>
        </w:rPr>
        <w:t xml:space="preserve">To: </w:t>
        <w:tab/>
        <w:tab/>
        <w:t>Brazos VPP Limited Partnership (“Party B”)</w:t>
      </w:r>
    </w:p>
    <w:p>
      <w:pPr>
        <w:pStyle w:val="Normal"/>
        <w:widowControl/>
        <w:jc w:val="both"/>
        <w:rPr>
          <w:sz w:val="20"/>
        </w:rPr>
      </w:pPr>
      <w:r>
        <w:rPr>
          <w:sz w:val="20"/>
        </w:rPr>
      </w:r>
    </w:p>
    <w:p>
      <w:pPr>
        <w:pStyle w:val="Normal"/>
        <w:widowControl/>
        <w:jc w:val="both"/>
        <w:rPr>
          <w:sz w:val="20"/>
        </w:rPr>
      </w:pPr>
      <w:r>
        <w:rPr>
          <w:sz w:val="20"/>
        </w:rPr>
        <w:t>From:</w:t>
        <w:tab/>
        <w:tab/>
        <w:t>Enron North America Corp. (“Party A”)</w:t>
      </w:r>
    </w:p>
    <w:p>
      <w:pPr>
        <w:pStyle w:val="Normal"/>
        <w:widowControl/>
        <w:jc w:val="both"/>
        <w:rPr>
          <w:sz w:val="20"/>
        </w:rPr>
      </w:pPr>
      <w:r>
        <w:rPr>
          <w:sz w:val="20"/>
        </w:rPr>
      </w:r>
    </w:p>
    <w:p>
      <w:pPr>
        <w:pStyle w:val="Normal"/>
        <w:widowControl/>
        <w:jc w:val="both"/>
        <w:rPr>
          <w:color w:val="FF0000"/>
          <w:sz w:val="20"/>
        </w:rPr>
      </w:pPr>
      <w:r>
        <w:rPr>
          <w:sz w:val="20"/>
        </w:rPr>
        <w:t>RE:</w:t>
        <w:tab/>
        <w:tab/>
        <w:t>Swap Transaction (Crescendo Energy LLC/Interest Rate)</w:t>
      </w:r>
    </w:p>
    <w:p>
      <w:pPr>
        <w:pStyle w:val="Normal"/>
        <w:widowControl/>
        <w:jc w:val="both"/>
        <w:rPr>
          <w:color w:val="FF0000"/>
          <w:sz w:val="20"/>
        </w:rPr>
      </w:pPr>
      <w:r>
        <w:rPr>
          <w:color w:val="FF0000"/>
          <w:sz w:val="20"/>
        </w:rPr>
      </w:r>
    </w:p>
    <w:p>
      <w:pPr>
        <w:pStyle w:val="Normal"/>
        <w:widowControl/>
        <w:jc w:val="both"/>
        <w:rPr>
          <w:sz w:val="20"/>
        </w:rPr>
      </w:pPr>
      <w:r>
        <w:rPr>
          <w:sz w:val="20"/>
        </w:rPr>
        <w:t>The purpose of this letter agreement (this “Confirmation”) is to confirm the terms and conditions of the transaction entered into between us on the date specified above (the “Transaction”). This Confirmation constitutes a “Confirmation” as referred to in the ISDA Master Agreement specified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1.</w:t>
        <w:tab/>
        <w:t>This Confirmation supplements, forms part of, and is subject to, the ISDA Master Agreement dated as of December 27, 2000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BodyText2"/>
        <w:widowControl/>
        <w:ind w:start="0" w:end="0"/>
        <w:rPr>
          <w:b/>
        </w:rPr>
      </w:pPr>
      <w:r>
        <w:rPr>
          <w:b/>
        </w:rPr>
        <w:t>General Terms:</w:t>
        <w:tab/>
      </w:r>
    </w:p>
    <w:p>
      <w:pPr>
        <w:pStyle w:val="BodyText2"/>
        <w:widowContro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 xml:space="preserve">Notional Amount: </w:t>
            </w:r>
          </w:p>
        </w:tc>
        <w:tc>
          <w:tcPr>
            <w:tcW w:w="4428" w:type="dxa"/>
            <w:tcBorders/>
          </w:tcPr>
          <w:p>
            <w:pPr>
              <w:pStyle w:val="Normal"/>
              <w:jc w:val="both"/>
              <w:rPr>
                <w:sz w:val="20"/>
              </w:rPr>
            </w:pPr>
            <w:r>
              <w:rPr>
                <w:sz w:val="20"/>
              </w:rPr>
              <w:t>For each Calculation Period, the amount set forth in Exhibit I under the heading ‘Notional Amount’</w:t>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December 29, 2000</w:t>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September 30, 2008</w:t>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Calculation Period:</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As set forth in Exhibit I, beginning on the Effective Date and ending on September 30, 2008</w:t>
            </w:r>
          </w:p>
        </w:tc>
      </w:tr>
    </w:tbl>
    <w:p>
      <w:pPr>
        <w:pStyle w:val="BodyText2"/>
        <w:widowControl/>
        <w:tabs>
          <w:tab w:val="left" w:pos="90" w:leader="none"/>
          <w:tab w:val="left" w:pos="2160" w:leader="none"/>
          <w:tab w:val="left" w:pos="4140" w:leader="none"/>
          <w:tab w:val="left" w:pos="4320" w:leader="none"/>
          <w:tab w:val="left" w:pos="6480" w:leader="none"/>
        </w:tabs>
        <w:ind w:hanging="720" w:start="0" w:end="0"/>
        <w:rPr/>
      </w:pPr>
      <w:r>
        <w:rPr/>
      </w:r>
    </w:p>
    <w:p>
      <w:pPr>
        <w:pStyle w:val="BodyText2"/>
        <w:widowControl/>
        <w:tabs>
          <w:tab w:val="left" w:pos="90" w:leader="none"/>
          <w:tab w:val="left" w:pos="2160" w:leader="none"/>
          <w:tab w:val="left" w:pos="4140" w:leader="none"/>
          <w:tab w:val="left" w:pos="4320" w:leader="none"/>
          <w:tab w:val="left" w:pos="6480" w:leader="none"/>
        </w:tabs>
        <w:ind w:start="-90" w:end="0"/>
        <w:rPr>
          <w:b/>
        </w:rPr>
      </w:pPr>
      <w:r>
        <w:rPr>
          <w:b/>
        </w:rPr>
      </w:r>
    </w:p>
    <w:p>
      <w:pPr>
        <w:pStyle w:val="BodyText2"/>
        <w:widowControl/>
        <w:tabs>
          <w:tab w:val="left" w:pos="90" w:leader="none"/>
          <w:tab w:val="left" w:pos="2160" w:leader="none"/>
          <w:tab w:val="left" w:pos="4140" w:leader="none"/>
          <w:tab w:val="left" w:pos="4320" w:leader="none"/>
          <w:tab w:val="left" w:pos="6480" w:leader="none"/>
        </w:tabs>
        <w:ind w:start="-90" w:end="0"/>
        <w:rPr>
          <w:b/>
        </w:rPr>
      </w:pPr>
      <w:r>
        <w:rPr>
          <w:b/>
        </w:rPr>
        <w:t xml:space="preserve">Fixed Amounts: </w:t>
      </w:r>
    </w:p>
    <w:p>
      <w:pPr>
        <w:pStyle w:val="BodyText2"/>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Party B</w:t>
            </w:r>
          </w:p>
        </w:tc>
      </w:tr>
      <w:tr>
        <w:trPr/>
        <w:tc>
          <w:tcPr>
            <w:tcW w:w="4428" w:type="dxa"/>
            <w:tcBorders/>
          </w:tcPr>
          <w:p>
            <w:pPr>
              <w:pStyle w:val="BodyText2"/>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2"/>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The last LIBOR Business Day (as defined in Schedule 1 to the Trust Agreement) of each Calculation Period</w:t>
            </w:r>
          </w:p>
        </w:tc>
      </w:tr>
      <w:tr>
        <w:trPr/>
        <w:tc>
          <w:tcPr>
            <w:tcW w:w="4428" w:type="dxa"/>
            <w:tcBorders/>
          </w:tcPr>
          <w:p>
            <w:pPr>
              <w:pStyle w:val="BodyText2"/>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6.10 percent</w:t>
            </w:r>
          </w:p>
        </w:tc>
      </w:tr>
      <w:tr>
        <w:trPr/>
        <w:tc>
          <w:tcPr>
            <w:tcW w:w="4428" w:type="dxa"/>
            <w:tcBorders/>
          </w:tcPr>
          <w:p>
            <w:pPr>
              <w:pStyle w:val="BodyText2"/>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 xml:space="preserve">Fixed Rate </w:t>
            </w:r>
          </w:p>
          <w:p>
            <w:pPr>
              <w:pStyle w:val="BodyText2"/>
              <w:widowControl/>
              <w:tabs>
                <w:tab w:val="left" w:pos="90" w:leader="none"/>
                <w:tab w:val="left" w:pos="2160" w:leader="none"/>
                <w:tab w:val="left" w:pos="4140" w:leader="none"/>
                <w:tab w:val="left" w:pos="6480" w:leader="none"/>
              </w:tabs>
              <w:ind w:firstLine="720" w:start="0" w:end="0"/>
              <w:rPr/>
            </w:pPr>
            <w:r>
              <w:rPr/>
              <w:t xml:space="preserve">Day Count Fraction: </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30/360</w:t>
            </w:r>
          </w:p>
        </w:tc>
      </w:tr>
    </w:tbl>
    <w:p>
      <w:pPr>
        <w:pStyle w:val="BodyText2"/>
        <w:widowControl/>
        <w:tabs>
          <w:tab w:val="left" w:pos="90" w:leader="none"/>
          <w:tab w:val="left" w:pos="2160" w:leader="none"/>
          <w:tab w:val="left" w:pos="4140" w:leader="none"/>
          <w:tab w:val="left" w:pos="4320" w:leader="none"/>
          <w:tab w:val="left" w:pos="6480" w:leader="none"/>
        </w:tabs>
        <w:rPr>
          <w:b/>
        </w:rPr>
      </w:pPr>
      <w:r>
        <w:rPr>
          <w:b/>
        </w:rPr>
      </w:r>
    </w:p>
    <w:p>
      <w:pPr>
        <w:pStyle w:val="BodyText2"/>
        <w:widowControl/>
        <w:tabs>
          <w:tab w:val="left" w:pos="90" w:leader="none"/>
          <w:tab w:val="left" w:pos="2160" w:leader="none"/>
          <w:tab w:val="left" w:pos="4140" w:leader="none"/>
          <w:tab w:val="left" w:pos="4320" w:leader="none"/>
          <w:tab w:val="left" w:pos="6480" w:leader="none"/>
        </w:tabs>
        <w:ind w:start="0" w:end="0"/>
        <w:rPr/>
      </w:pPr>
      <w:r>
        <w:rPr>
          <w:b/>
        </w:rPr>
        <w:t>Floating Amounts:</w:t>
      </w:r>
      <w:r>
        <w:rPr/>
        <w:t xml:space="preserve"> </w:t>
      </w:r>
    </w:p>
    <w:p>
      <w:pPr>
        <w:pStyle w:val="BodyText2"/>
        <w:widowControl/>
        <w:tabs>
          <w:tab w:val="left" w:pos="90" w:leader="none"/>
          <w:tab w:val="left" w:pos="2160" w:leader="none"/>
          <w:tab w:val="left" w:pos="4140" w:leader="none"/>
          <w:tab w:val="left" w:pos="4320" w:leader="none"/>
          <w:tab w:val="left" w:pos="6480" w:leader="none"/>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Floating Rate Payer:</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Party A</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Floating Rate Payer </w:t>
            </w:r>
          </w:p>
          <w:p>
            <w:pPr>
              <w:pStyle w:val="BodyText2"/>
              <w:widowControl/>
              <w:tabs>
                <w:tab w:val="clear" w:pos="90"/>
                <w:tab w:val="left" w:pos="0" w:leader="none"/>
                <w:tab w:val="left" w:pos="2160" w:leader="none"/>
                <w:tab w:val="left" w:pos="4140" w:leader="none"/>
                <w:tab w:val="left" w:pos="6480" w:leader="none"/>
              </w:tabs>
              <w:ind w:start="720" w:end="0"/>
              <w:jc w:val="start"/>
              <w:rPr/>
            </w:pPr>
            <w:r>
              <w:rPr/>
              <w:t>Payment Dates:</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The last LIBOR Business Day (as defined in Schedule 1 to the Trust Agreement) of each Calculation Period</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Floating Rate Option and </w:t>
            </w:r>
          </w:p>
          <w:p>
            <w:pPr>
              <w:pStyle w:val="BodyText2"/>
              <w:widowControl/>
              <w:tabs>
                <w:tab w:val="clear" w:pos="90"/>
                <w:tab w:val="left" w:pos="0" w:leader="none"/>
                <w:tab w:val="left" w:pos="2160" w:leader="none"/>
                <w:tab w:val="left" w:pos="4140" w:leader="none"/>
                <w:tab w:val="left" w:pos="6480" w:leader="none"/>
              </w:tabs>
              <w:ind w:start="720" w:end="0"/>
              <w:jc w:val="start"/>
              <w:rPr/>
            </w:pPr>
            <w:r>
              <w:rPr/>
              <w:t>Designated Maturity:</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The Yield Factor (as defined in Schedule 1 to the Trust Agreement) applicable to Series 2</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Spread:</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Not applicable</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Floating Rate </w:t>
            </w:r>
          </w:p>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Day Count Fraction: </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Actual/360</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Reset Dates:</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The first day of each Floating Rate Payer Calculation Period</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Compounding:</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Inapplicable</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bl>
    <w:p>
      <w:pPr>
        <w:pStyle w:val="BodyText2"/>
        <w:widowControl/>
        <w:tabs>
          <w:tab w:val="left" w:pos="90" w:leader="none"/>
          <w:tab w:val="left" w:pos="2160" w:leader="none"/>
          <w:tab w:val="left" w:pos="4140" w:leader="none"/>
          <w:tab w:val="left" w:pos="4320" w:leader="none"/>
          <w:tab w:val="left" w:pos="6480" w:leader="none"/>
        </w:tabs>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3. Calculation Agent:</w:t>
            </w:r>
          </w:p>
        </w:tc>
        <w:tc>
          <w:tcPr>
            <w:tcW w:w="4428" w:type="dxa"/>
            <w:tcBorders/>
          </w:tcPr>
          <w:p>
            <w:pPr>
              <w:pStyle w:val="Normal"/>
              <w:widowControl/>
              <w:spacing w:before="60" w:after="0"/>
              <w:jc w:val="both"/>
              <w:rPr>
                <w:sz w:val="20"/>
              </w:rPr>
            </w:pPr>
            <w:r>
              <w:rPr>
                <w:sz w:val="20"/>
              </w:rPr>
              <w:t>Party A</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4. Account Details:</w:t>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ind w:start="270" w:end="0"/>
              <w:jc w:val="both"/>
              <w:rPr>
                <w:sz w:val="20"/>
              </w:rPr>
            </w:pPr>
            <w:r>
              <w:rPr>
                <w:sz w:val="20"/>
              </w:rPr>
              <w:t>Payments to Party A:</w:t>
            </w:r>
          </w:p>
        </w:tc>
        <w:tc>
          <w:tcPr>
            <w:tcW w:w="4428" w:type="dxa"/>
            <w:tcBorders/>
          </w:tcPr>
          <w:p>
            <w:pPr>
              <w:pStyle w:val="Normal"/>
              <w:widowControl/>
              <w:spacing w:before="60" w:after="0"/>
              <w:jc w:val="both"/>
              <w:rPr>
                <w:sz w:val="20"/>
              </w:rPr>
            </w:pPr>
            <w:r>
              <w:rPr>
                <w:sz w:val="20"/>
              </w:rPr>
              <w:t>As set forth in the Agreement</w:t>
            </w:r>
          </w:p>
        </w:tc>
      </w:tr>
      <w:tr>
        <w:trPr/>
        <w:tc>
          <w:tcPr>
            <w:tcW w:w="4428" w:type="dxa"/>
            <w:tcBorders/>
          </w:tcPr>
          <w:p>
            <w:pPr>
              <w:pStyle w:val="Normal"/>
              <w:widowControl/>
              <w:snapToGrid w:val="false"/>
              <w:spacing w:before="60" w:after="0"/>
              <w:ind w:start="270" w:end="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ind w:start="270" w:end="0"/>
              <w:jc w:val="both"/>
              <w:rPr>
                <w:sz w:val="20"/>
              </w:rPr>
            </w:pPr>
            <w:r>
              <w:rPr>
                <w:sz w:val="20"/>
              </w:rPr>
              <w:t>Payments to Party B:</w:t>
            </w:r>
          </w:p>
        </w:tc>
        <w:tc>
          <w:tcPr>
            <w:tcW w:w="4428" w:type="dxa"/>
            <w:tcBorders/>
          </w:tcPr>
          <w:p>
            <w:pPr>
              <w:pStyle w:val="Normal"/>
              <w:widowControl/>
              <w:spacing w:before="60" w:after="0"/>
              <w:jc w:val="both"/>
              <w:rPr>
                <w:sz w:val="20"/>
              </w:rPr>
            </w:pPr>
            <w:r>
              <w:rPr>
                <w:sz w:val="20"/>
              </w:rPr>
              <w:t>As set forth in the Agreement</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5. Governing Law</w:t>
            </w:r>
          </w:p>
        </w:tc>
        <w:tc>
          <w:tcPr>
            <w:tcW w:w="4428" w:type="dxa"/>
            <w:tcBorders/>
          </w:tcPr>
          <w:p>
            <w:pPr>
              <w:pStyle w:val="Normal"/>
              <w:widowControl/>
              <w:spacing w:before="60" w:after="0"/>
              <w:jc w:val="both"/>
              <w:rPr>
                <w:sz w:val="20"/>
              </w:rPr>
            </w:pPr>
            <w:r>
              <w:rPr>
                <w:sz w:val="20"/>
              </w:rPr>
              <w:t>As set forth in the Agreement</w:t>
            </w:r>
          </w:p>
        </w:tc>
      </w:tr>
    </w:tbl>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r>
        <w:br w:type="page"/>
      </w:r>
    </w:p>
    <w:p>
      <w:pPr>
        <w:pStyle w:val="Normal"/>
        <w:widowControl/>
        <w:jc w:val="both"/>
        <w:rPr>
          <w:sz w:val="20"/>
        </w:rPr>
      </w:pPr>
      <w:r>
        <w:rPr>
          <w:sz w:val="20"/>
        </w:rPr>
      </w:r>
    </w:p>
    <w:p>
      <w:pPr>
        <w:pStyle w:val="Normal"/>
        <w:widowControl/>
        <w:jc w:val="both"/>
        <w:rPr>
          <w:sz w:val="20"/>
        </w:rPr>
      </w:pPr>
      <w:r>
        <w:rPr>
          <w:sz w:val="20"/>
        </w:rPr>
        <w:t>Enron North America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ENRON NORTH AMERICA CORP.</w:t>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t>BRAZOS VPP LIMITED PARTNERSHIP</w:t>
      </w:r>
    </w:p>
    <w:p>
      <w:pPr>
        <w:pStyle w:val="Normal"/>
        <w:widowControl/>
        <w:jc w:val="both"/>
        <w:rPr>
          <w:sz w:val="20"/>
        </w:rPr>
      </w:pPr>
      <w:r>
        <w:rPr>
          <w:sz w:val="20"/>
        </w:rPr>
      </w:r>
    </w:p>
    <w:p>
      <w:pPr>
        <w:pStyle w:val="Normal"/>
        <w:widowControl/>
        <w:jc w:val="both"/>
        <w:rPr>
          <w:sz w:val="20"/>
        </w:rPr>
      </w:pPr>
      <w:r>
        <w:rPr>
          <w:sz w:val="20"/>
        </w:rPr>
        <w:t>BY:  AGAVE VPP, LLC, its General Partner</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sz w:val="20"/>
        </w:rPr>
      </w:pPr>
      <w:r>
        <w:rPr>
          <w:sz w:val="20"/>
        </w:rPr>
      </w:r>
    </w:p>
    <w:p>
      <w:pPr>
        <w:pStyle w:val="Normal"/>
        <w:widowControl/>
        <w:jc w:val="both"/>
        <w:rPr>
          <w:sz w:val="20"/>
        </w:rPr>
      </w:pPr>
      <w:r>
        <w:rPr>
          <w:sz w:val="20"/>
        </w:rPr>
      </w:r>
    </w:p>
    <w:p>
      <w:pPr>
        <w:pStyle w:val="Normal"/>
        <w:widowControl/>
        <w:jc w:val="center"/>
        <w:rPr>
          <w:b/>
          <w:bCs/>
          <w:sz w:val="20"/>
        </w:rPr>
      </w:pPr>
      <w:r>
        <w:rPr>
          <w:b/>
          <w:bCs/>
          <w:sz w:val="20"/>
        </w:rPr>
        <w:t>Exhibit I</w:t>
      </w:r>
    </w:p>
    <w:p>
      <w:pPr>
        <w:pStyle w:val="Normal"/>
        <w:widowControl/>
        <w:jc w:val="center"/>
        <w:rPr>
          <w:b/>
          <w:bCs/>
          <w:sz w:val="20"/>
        </w:rPr>
      </w:pPr>
      <w:r>
        <w:rPr>
          <w:b/>
          <w:bCs/>
          <w:sz w:val="20"/>
        </w:rPr>
      </w:r>
    </w:p>
    <w:p>
      <w:pPr>
        <w:pStyle w:val="Normal"/>
        <w:widowControl/>
        <w:jc w:val="both"/>
        <w:rPr>
          <w:b/>
          <w:bCs/>
          <w:sz w:val="20"/>
        </w:rPr>
      </w:pPr>
      <w:r>
        <w:rPr>
          <w:b/>
          <w:bCs/>
          <w:sz w:val="20"/>
        </w:rPr>
        <w:t>Calculation Periods</w:t>
        <w:tab/>
        <w:tab/>
        <w:t>Notional Amounts</w:t>
      </w:r>
    </w:p>
    <w:p>
      <w:pPr>
        <w:pStyle w:val="Normal"/>
        <w:widowControl/>
        <w:jc w:val="center"/>
        <w:rPr>
          <w:b/>
          <w:bCs/>
          <w:sz w:val="20"/>
        </w:rPr>
      </w:pPr>
      <w:r>
        <w:rPr>
          <w:b/>
          <w:bCs/>
          <w:sz w:val="20"/>
        </w:rPr>
      </w:r>
    </w:p>
    <w:tbl>
      <w:tblPr>
        <w:tblW w:w="5660" w:type="dxa"/>
        <w:jc w:val="start"/>
        <w:tblInd w:w="0" w:type="dxa"/>
        <w:tblLayout w:type="fixed"/>
        <w:tblCellMar>
          <w:top w:w="15" w:type="dxa"/>
          <w:start w:w="15" w:type="dxa"/>
          <w:bottom w:w="0" w:type="dxa"/>
          <w:end w:w="15" w:type="dxa"/>
        </w:tblCellMar>
      </w:tblPr>
      <w:tblGrid>
        <w:gridCol w:w="1340"/>
        <w:gridCol w:w="1340"/>
        <w:gridCol w:w="180"/>
        <w:gridCol w:w="1840"/>
        <w:gridCol w:w="960"/>
      </w:tblGrid>
      <w:tr>
        <w:trPr>
          <w:trHeight w:val="510" w:hRule="atLeast"/>
        </w:trPr>
        <w:tc>
          <w:tcPr>
            <w:tcW w:w="1340" w:type="dxa"/>
            <w:tcBorders/>
            <w:vAlign w:val="bottom"/>
          </w:tcPr>
          <w:p>
            <w:pPr>
              <w:pStyle w:val="Normal"/>
              <w:jc w:val="center"/>
              <w:rPr>
                <w:rFonts w:ascii="Arial" w:hAnsi="Arial" w:eastAsia="Arial Unicode MS" w:cs="Arial"/>
                <w:sz w:val="20"/>
              </w:rPr>
            </w:pPr>
            <w:r>
              <w:rPr>
                <w:rFonts w:cs="Arial" w:ascii="Arial" w:hAnsi="Arial"/>
                <w:sz w:val="20"/>
              </w:rPr>
              <w:t>From and Including</w:t>
            </w:r>
          </w:p>
        </w:tc>
        <w:tc>
          <w:tcPr>
            <w:tcW w:w="1340" w:type="dxa"/>
            <w:tcBorders/>
            <w:vAlign w:val="bottom"/>
          </w:tcPr>
          <w:p>
            <w:pPr>
              <w:pStyle w:val="Normal"/>
              <w:jc w:val="center"/>
              <w:rPr>
                <w:rFonts w:ascii="Arial" w:hAnsi="Arial" w:eastAsia="Arial Unicode MS" w:cs="Arial"/>
                <w:sz w:val="20"/>
              </w:rPr>
            </w:pPr>
            <w:r>
              <w:rPr>
                <w:rFonts w:cs="Arial" w:ascii="Arial" w:hAnsi="Arial"/>
                <w:sz w:val="20"/>
              </w:rPr>
              <w:t>To and Excluding</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center"/>
              <w:rPr>
                <w:rFonts w:ascii="Arial" w:hAnsi="Arial" w:eastAsia="Arial Unicode MS" w:cs="Arial"/>
                <w:sz w:val="20"/>
              </w:rPr>
            </w:pPr>
            <w:r>
              <w:rPr>
                <w:rFonts w:cs="Arial" w:ascii="Arial" w:hAnsi="Arial"/>
                <w:sz w:val="20"/>
              </w:rPr>
              <w:t>Notional Amount</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40" w:type="dxa"/>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Effective Date</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02/28/01</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7,720,106.67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02/28/01</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03/31/01</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7,674,539.59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03/31/01</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04/30/01</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7,592,189.05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04/30/01</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05/31/01</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7,495,264.90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05/31/01</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06/30/01</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7,402,435.05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06/30/01</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07/31/01</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7,304,324.14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07/31/01</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08/31/01</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7,210,300.11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08/31/01</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09/30/01</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7,111,009.00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09/30/01</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10/31/01</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7,011,075.46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10/31/01</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11/30/01</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6,915,217.41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11/30/01</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12/31/01</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6,814,059.36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12/31/01</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01/31/02</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6,716,969.13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01/31/02</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02/28/02</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6,614,592.65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02/28/02</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03/31/02</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6,509,895.89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03/31/02</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04/30/02</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6,418,802.16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04/30/02</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05/31/02</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6,312,923.79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05/31/02</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06/30/02</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6,211,135.84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06/30/02</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07/31/02</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6,103,958.69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07/31/02</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08/31/02</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6,000,863.85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08/31/02</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09/30/02</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5,892,393.07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09/30/02</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10/31/02</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5,783,222.44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10/31/02</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11/30/02</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5,678,121.66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11/30/02</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12/31/02</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5,567,610.95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12/31/02</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01/31/03</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5,461,161.70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01/31/03</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02/28/03</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5,349,315.53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02/28/03</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03/31/03</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5,257,798.85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03/31/03</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04/30/03</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5,177,926.35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04/30/03</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05/31/03</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5,085,380.66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05/31/03</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06/30/03</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4,996,328.36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06/30/03</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07/31/03</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4,902,646.93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07/31/03</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08/31/03</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4,812,451.78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08/31/03</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09/30/03</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4,717,641.79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09/30/03</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10/31/03</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4,622,217.41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10/31/03</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11/30/03</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4,530,268.41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11/30/03</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12/31/03</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4,433,672.17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12/31/03</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01/31/04</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4,340,543.98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01/31/04</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02/29/04</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4,242,782.61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02/29/04</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03/31/04</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4,159,266.89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03/31/04</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04/30/04</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4,082,411.93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04/30/04</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05/31/04</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3,997,914.67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05/31/04</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06/30/04</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3,916,480.51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06/30/04</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07/31/04</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3,830,945.50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07/31/04</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08/31/04</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3,748,467.08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08/31/04</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09/30/04</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3,661,902.73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09/30/04</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10/31/04</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3,574,775.54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10/31/04</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11/30/04</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3,490,694.98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11/30/04</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12/31/04</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3,402,497.03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12/31/04</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01/31/05</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3,317,339.02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01/31/05</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02/28/05</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3,228,078.32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02/28/05</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03/31/05</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3,149,504.65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03/31/05</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04/30/05</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3,080,119.69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04/30/05</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05/31/05</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3,000,663.55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05/31/05</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06/30/05</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2,923,937.19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06/30/05</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07/31/05</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2,843,504.26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07/31/05</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08/31/05</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2,765,795.00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08/31/05</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09/30/05</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2,684,394.47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09/30/05</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10/31/05</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2,602,463.40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10/31/05</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11/30/05</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2,523,246.64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11/30/05</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12/31/05</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2,440,307.72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12/31/05</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01/31/06</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2,360,076.80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01/31/06</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02/28/06</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2,276,138.84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02/28/06</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03/31/06</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2,203,010.96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03/31/06</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04/30/06</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2,138,002.68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04/30/06</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05/31/06</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2,064,053.77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05/31/06</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06/30/06</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1,992,501.35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06/30/06</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07/31/06</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1,917,642.45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07/31/06</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08/31/06</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1,845,174.35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08/31/06</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09/30/06</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1,769,415.49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09/30/06</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10/31/06</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1,693,161.37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10/31/06</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11/30/06</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1,619,289.32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11/30/06</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12/31/06</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1,542,096.29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12/31/06</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01/31/07</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1,467,279.46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01/31/07</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02/28/07</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1,389,157.19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02/28/07</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03/31/07</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1,316,226.54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03/31/07</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04/30/07</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1,250,860.80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04/30/07</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05/31/07</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1,177,108.11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05/31/07</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06/30/07</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1,105,567.84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06/30/07</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07/31/07</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1,030,906.48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07/31/07</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08/31/07</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958,451.85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08/31/07</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09/30/07</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882,891.84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09/30/07</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10/31/07</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806,837.82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10/31/07</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11/30/07</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732,981.83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11/30/07</w:t>
            </w:r>
          </w:p>
        </w:tc>
        <w:tc>
          <w:tcPr>
            <w:tcW w:w="1340" w:type="dxa"/>
            <w:tcBorders/>
            <w:vAlign w:val="bottom"/>
          </w:tcPr>
          <w:p>
            <w:pPr>
              <w:pStyle w:val="Normal"/>
              <w:jc w:val="end"/>
              <w:rPr>
                <w:rFonts w:ascii="Arial" w:hAnsi="Arial" w:eastAsia="Arial Unicode MS" w:cs="Arial"/>
                <w:sz w:val="20"/>
              </w:rPr>
            </w:pPr>
            <w:r>
              <w:rPr>
                <w:rFonts w:cs="Arial" w:ascii="Arial" w:hAnsi="Arial"/>
                <w:sz w:val="20"/>
              </w:rPr>
              <w:t>12/31/07</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655,990.25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12/31/07</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01/31/08</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581,190.83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01/31/08</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02/29/08</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503,271.36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02/29/08</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03/31/08</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440,619.25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03/31/08</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04/30/08</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381,903.44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04/30/08</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05/31/08</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318,513.72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05/31/08</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06/30/08</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256,891.63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06/30/08</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07/31/08</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192,720.06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07/31/08</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08/31/08</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130,311.24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40" w:type="dxa"/>
            <w:tcBorders/>
            <w:vAlign w:val="bottom"/>
          </w:tcPr>
          <w:p>
            <w:pPr>
              <w:pStyle w:val="Normal"/>
              <w:jc w:val="end"/>
              <w:rPr>
                <w:rFonts w:ascii="Arial" w:hAnsi="Arial" w:eastAsia="Arial Unicode MS" w:cs="Arial"/>
                <w:sz w:val="20"/>
              </w:rPr>
            </w:pPr>
            <w:r>
              <w:rPr>
                <w:rFonts w:cs="Arial" w:ascii="Arial" w:hAnsi="Arial"/>
                <w:sz w:val="20"/>
              </w:rPr>
              <w:t>08/31/08</w:t>
            </w:r>
          </w:p>
        </w:tc>
        <w:tc>
          <w:tcPr>
            <w:tcW w:w="1340" w:type="dxa"/>
            <w:tcBorders/>
            <w:vAlign w:val="bottom"/>
          </w:tcPr>
          <w:p>
            <w:pPr>
              <w:pStyle w:val="Normal"/>
              <w:jc w:val="end"/>
              <w:rPr>
                <w:rFonts w:ascii="Arial" w:hAnsi="Arial" w:eastAsia="Arial Unicode MS" w:cs="Arial"/>
                <w:sz w:val="20"/>
              </w:rPr>
            </w:pPr>
            <w:r>
              <w:rPr>
                <w:rFonts w:cs="Arial" w:ascii="Arial" w:hAnsi="Arial"/>
                <w:sz w:val="20"/>
              </w:rPr>
              <w:t>09/30/08</w:t>
            </w:r>
          </w:p>
        </w:tc>
        <w:tc>
          <w:tcPr>
            <w:tcW w:w="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840" w:type="dxa"/>
            <w:tcBorders/>
            <w:vAlign w:val="bottom"/>
          </w:tcPr>
          <w:p>
            <w:pPr>
              <w:pStyle w:val="Normal"/>
              <w:jc w:val="end"/>
              <w:rPr>
                <w:rFonts w:ascii="Arial" w:hAnsi="Arial" w:eastAsia="Arial Unicode MS" w:cs="Arial"/>
                <w:sz w:val="20"/>
              </w:rPr>
            </w:pPr>
            <w:r>
              <w:rPr>
                <w:rFonts w:cs="Arial" w:ascii="Arial" w:hAnsi="Arial"/>
                <w:sz w:val="20"/>
              </w:rPr>
              <w:t xml:space="preserve">65,369.46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bl>
    <w:p>
      <w:pPr>
        <w:pStyle w:val="Normal"/>
        <w:widowControl/>
        <w:rPr/>
      </w:pPr>
      <w:r>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widowControl/>
      <w:rPr>
        <w:sz w:val="18"/>
      </w:rPr>
    </w:pPr>
    <w:r>
      <w:rPr>
        <w:sz w:val="18"/>
      </w:rPr>
      <w:fldChar w:fldCharType="begin"/>
    </w:r>
    <w:r>
      <w:rPr>
        <w:sz w:val="18"/>
      </w:rPr>
      <w:instrText xml:space="preserve"> FILENAME \p </w:instrText>
    </w:r>
    <w:r>
      <w:rPr>
        <w:sz w:val="18"/>
      </w:rPr>
      <w:fldChar w:fldCharType="separate"/>
    </w:r>
    <w:r>
      <w:rPr>
        <w:sz w:val="18"/>
      </w:rPr>
      <w:t>/mnt/main-storage/datasets/enron-docs/doc/Brazos_Interest_Rate_Swap_2-530bea236aad2d638a8af6f72cdd8545a11f57af8d7704f5a92f8a06beac0f6b.doc</w:t>
    </w:r>
    <w:r>
      <w:rPr>
        <w:sz w:val="18"/>
      </w:rPr>
      <w:fldChar w:fldCharType="end"/>
    </w:r>
  </w:p>
  <w:p>
    <w:pPr>
      <w:pStyle w:val="Footer"/>
      <w:widowControl/>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/mnt/main-storage/datasets/enron-docs/doc/Brazos_Interest_Rate_Swap_2-530bea236aad2d638a8af6f72cdd8545a11f57af8d7704f5a92f8a06beac0f6b.doc</w:t>
    </w:r>
    <w:r>
      <w:rPr>
        <w:rStyle w:val="PageNumber"/>
        <w:sz w:val="18"/>
      </w:rPr>
      <w:fldChar w:fldCharType="end"/>
    </w:r>
  </w:p>
  <w:p>
    <w:pPr>
      <w:pStyle w:val="Footer"/>
      <w:jc w:val="center"/>
      <w:rPr>
        <w:rStyle w:val="PageNumb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4"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widowControl/>
      <w:rPr>
        <w:sz w:val="18"/>
      </w:rPr>
    </w:pPr>
    <w:r>
      <w:rPr>
        <w:sz w:val="18"/>
      </w:rPr>
      <w:fldChar w:fldCharType="begin"/>
    </w:r>
    <w:r>
      <w:rPr>
        <w:sz w:val="18"/>
      </w:rPr>
      <w:instrText xml:space="preserve"> FILENAME \p </w:instrText>
    </w:r>
    <w:r>
      <w:rPr>
        <w:sz w:val="18"/>
      </w:rPr>
      <w:fldChar w:fldCharType="separate"/>
    </w:r>
    <w:r>
      <w:rPr>
        <w:sz w:val="18"/>
      </w:rPr>
      <w:t>/mnt/main-storage/datasets/enron-docs/doc/Brazos_Interest_Rate_Swap_2-530bea236aad2d638a8af6f72cdd8545a11f57af8d7704f5a92f8a06beac0f6b.doc</w:t>
    </w:r>
    <w:r>
      <w:rPr>
        <w:sz w:val="18"/>
      </w:rPr>
      <w:fldChar w:fldCharType="end"/>
    </w:r>
  </w:p>
  <w:p>
    <w:pPr>
      <w:pStyle w:val="Footer"/>
      <w:widowControl/>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/mnt/main-storage/datasets/enron-docs/doc/Brazos_Interest_Rate_Swap_2-530bea236aad2d638a8af6f72cdd8545a11f57af8d7704f5a92f8a06beac0f6b.doc</w:t>
    </w:r>
    <w:r>
      <w:rPr>
        <w:rStyle w:val="PageNumber"/>
        <w:sz w:val="18"/>
      </w:rPr>
      <w:fldChar w:fldCharType="end"/>
    </w:r>
  </w:p>
  <w:p>
    <w:pPr>
      <w:pStyle w:val="Footer"/>
      <w:jc w:val="cen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16"/>
      </w:rPr>
    </w:pPr>
    <w:r>
      <w:rPr>
        <w:sz w:val="1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2000-12-21T21:03:00Z</dcterms:created>
  <dc:creator>ECT</dc:creator>
  <dc:description/>
  <dc:language>en-CA</dc:language>
  <cp:lastModifiedBy>mcook</cp:lastModifiedBy>
  <cp:lastPrinted>2000-12-28T16:56:00Z</cp:lastPrinted>
  <dcterms:modified xsi:type="dcterms:W3CDTF">2000-12-28T20:30:00Z</dcterms:modified>
  <cp:revision>28</cp:revision>
  <dc:subject/>
  <dc:title> 1400 Smith  Houston, TX 77002 (713) 853-3300 Fax (713) 646-4816</dc:title>
</cp:coreProperties>
</file>