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SectionTitle"/>
        <w:rPr/>
      </w:pPr>
      <w:r>
        <w:rPr/>
        <w:t>I</w:t>
      </w:r>
      <w:r>
        <w:rPr/>
        <w:fldChar w:fldCharType="begin"/>
      </w:r>
      <w:r>
        <w:rPr/>
        <w:instrText xml:space="preserve"> IF  "" ""</w:instrText>
      </w:r>
      <w:r>
        <w:rPr/>
        <w:fldChar w:fldCharType="separate"/>
      </w:r>
      <w:r>
        <w:rPr/>
      </w:r>
      <w:r>
        <w:rPr/>
        <w:fldChar w:fldCharType="end"/>
      </w:r>
      <w:r>
        <w:rPr/>
        <w:t>V.</w:t>
        <w:tab/>
        <w:t>Power Generation</w:t>
      </w:r>
    </w:p>
    <w:p>
      <w:pPr>
        <w:pStyle w:val="BLKmed1st1"/>
        <w:rPr/>
      </w:pPr>
      <w:r>
        <w:rPr/>
        <w:t>Following several years of under-investment and as a result of the continuing economic recovery, the Brazilian electricity sector is now facing the possibility of electricity shortages in several regions of the country.  In part, this risk is also the result of the country’s 95% dependency on hydroelectricity and of recent below average rainfall, especially in the Northeast Region.</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Strategic Overview</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Strategic Overview</w:t>
                      </w:r>
                    </w:p>
                  </w:txbxContent>
                </v:textbox>
                <w10:wrap type="square"/>
              </v:rect>
            </w:pict>
          </mc:Fallback>
        </mc:AlternateContent>
      </w:r>
    </w:p>
    <w:p>
      <w:pPr>
        <w:pStyle w:val="BLKmed1st1"/>
        <w:rPr/>
      </w:pPr>
      <w:r>
        <w:rPr/>
        <w:t>The Brazilian Government has therefore adopted an urgent policy to encourage greater private sector involvement in the electricity sector and to reduce the sector’s dependence on hydroelectricity.  Other super-regional political and economic integration initiatives have also played a major role.  These factors, along with the availability of substantial natural gas reserves in Bolivia and Argentina, were the primary drivers behind the development of BBPL and other regional pipeline projects which will deliver natural gas to key demand centers in Brazil.  The initiation of new, gas-fired power generation projects, however, suffered repeated delays as a result of:</w:t>
      </w:r>
    </w:p>
    <w:p>
      <w:pPr>
        <w:pStyle w:val="Bmed1st1"/>
        <w:numPr>
          <w:ilvl w:val="0"/>
          <w:numId w:val="1"/>
        </w:numPr>
        <w:spacing w:before="0" w:after="110"/>
        <w:ind w:hanging="0" w:start="0"/>
        <w:rPr/>
      </w:pPr>
      <w:r>
        <w:rPr/>
        <w:t>Issues associated with the pass-through of FX risks to off-takers;</w:t>
      </w:r>
    </w:p>
    <w:p>
      <w:pPr>
        <w:pStyle w:val="Bmed1st1"/>
        <w:numPr>
          <w:ilvl w:val="0"/>
          <w:numId w:val="1"/>
        </w:numPr>
        <w:spacing w:before="0" w:after="110"/>
        <w:ind w:hanging="0" w:start="0"/>
        <w:rPr/>
      </w:pPr>
      <w:r>
        <w:rPr/>
        <w:t>Uncertainty surrounding the operation of the wholesale electricity market in Brazil;</w:t>
      </w:r>
    </w:p>
    <w:p>
      <w:pPr>
        <w:pStyle w:val="Bmed1st1"/>
        <w:numPr>
          <w:ilvl w:val="0"/>
          <w:numId w:val="1"/>
        </w:numPr>
        <w:spacing w:before="0" w:after="110"/>
        <w:ind w:hanging="0" w:start="0"/>
        <w:rPr/>
      </w:pPr>
      <w:r>
        <w:rPr/>
        <w:t>The relatively high price of imported natural gas; and</w:t>
      </w:r>
    </w:p>
    <w:p>
      <w:pPr>
        <w:pStyle w:val="Bmed1st1"/>
        <w:numPr>
          <w:ilvl w:val="0"/>
          <w:numId w:val="1"/>
        </w:numPr>
        <w:ind w:hanging="0" w:start="0"/>
        <w:rPr/>
      </w:pPr>
      <w:r>
        <w:rPr/>
        <w:t>The recent emerging markets financial crisis.</w:t>
      </w:r>
    </w:p>
    <w:p>
      <w:pPr>
        <w:pStyle w:val="BLKmed1st1"/>
        <w:rPr/>
      </w:pPr>
      <w:r>
        <w:rPr/>
        <w:t>In order to overcome these and other challenges, the Brazilian Government assigned “Emergency Plant” status to [20] new power generation projects.  This status includes:</w:t>
      </w:r>
    </w:p>
    <w:p>
      <w:pPr>
        <w:pStyle w:val="Bmed1st1"/>
        <w:numPr>
          <w:ilvl w:val="0"/>
          <w:numId w:val="1"/>
        </w:numPr>
        <w:spacing w:before="0" w:after="110"/>
        <w:ind w:hanging="0" w:start="0"/>
        <w:rPr/>
      </w:pPr>
      <w:r>
        <w:rPr/>
        <w:t>Access to favorably priced natural gas (blended cost of domestic and imported gas);</w:t>
      </w:r>
    </w:p>
    <w:p>
      <w:pPr>
        <w:pStyle w:val="Bmed1st1"/>
        <w:numPr>
          <w:ilvl w:val="0"/>
          <w:numId w:val="1"/>
        </w:numPr>
        <w:spacing w:before="0" w:after="110"/>
        <w:ind w:hanging="0" w:start="0"/>
        <w:rPr/>
      </w:pPr>
      <w:r>
        <w:rPr/>
        <w:t>Preferential dispatch status; and</w:t>
      </w:r>
    </w:p>
    <w:p>
      <w:pPr>
        <w:pStyle w:val="Bmed1st1"/>
        <w:numPr>
          <w:ilvl w:val="0"/>
          <w:numId w:val="1"/>
        </w:numPr>
        <w:ind w:hanging="0" w:start="0"/>
        <w:rPr/>
      </w:pPr>
      <w:r>
        <w:rPr/>
        <w:t>Subject to certain limitations, pass-through of FX risks.</w:t>
      </w:r>
    </w:p>
    <w:p>
      <w:pPr>
        <w:pStyle w:val="BLKmed1st1"/>
        <w:rPr/>
      </w:pPr>
      <w:r>
        <w:rPr/>
        <w:t>The development of all new gas-fired power generation projects, however, depends crucially on:</w:t>
      </w:r>
    </w:p>
    <w:p>
      <w:pPr>
        <w:pStyle w:val="Bmed1st1"/>
        <w:numPr>
          <w:ilvl w:val="0"/>
          <w:numId w:val="1"/>
        </w:numPr>
        <w:spacing w:before="0" w:after="110"/>
        <w:ind w:hanging="0" w:start="0"/>
        <w:rPr/>
      </w:pPr>
      <w:r>
        <w:rPr/>
        <w:t>Access to competitive sources of natural gas and associated transportation capacity;</w:t>
      </w:r>
    </w:p>
    <w:p>
      <w:pPr>
        <w:pStyle w:val="Bmed1st1"/>
        <w:numPr>
          <w:ilvl w:val="0"/>
          <w:numId w:val="1"/>
        </w:numPr>
        <w:spacing w:before="0" w:after="110"/>
        <w:ind w:hanging="0" w:start="0"/>
        <w:rPr/>
      </w:pPr>
      <w:r>
        <w:rPr/>
        <w:t>Ability to obtain the required permits and approvals; and</w:t>
      </w:r>
    </w:p>
    <w:p>
      <w:pPr>
        <w:pStyle w:val="Bmed1st1"/>
        <w:numPr>
          <w:ilvl w:val="0"/>
          <w:numId w:val="1"/>
        </w:numPr>
        <w:ind w:hanging="0" w:start="0"/>
        <w:rPr/>
      </w:pPr>
      <w:r>
        <w:rPr/>
        <w:t>Access to long-term contracts in view of the non-entrance of a transparent wholesale market for electricity.</w:t>
      </w:r>
    </w:p>
    <w:p>
      <w:pPr>
        <w:pStyle w:val="BLKmed1st1"/>
        <w:rPr/>
      </w:pPr>
      <w:r>
        <w:rPr/>
        <w:t>Enron has built a unique position in the power generation sector in Brazil. Both Cuiabá I and II and RioGen I have been given Emergency Plant status and the ownership of Elektro will enable Enron to enter into long-term contracts for up to 30% of its regulated demand and 100% of its unregulated demand.  The Cuiabá project, in particular, has involved the construction of a gas pipeline as well as the power plant, giving Enron unique insight into and experience of the procedures required to obtain all the necessary permits, approvals and licenses (including environmental) for the project.</w:t>
      </w:r>
    </w:p>
    <w:p>
      <w:pPr>
        <w:pStyle w:val="BLKmed1st1"/>
        <w:rPr/>
      </w:pPr>
      <w:r>
        <w:rPr/>
        <w:t xml:space="preserve">As a result of this experience, as well as its ownership interest in gas pipeline capacity (through </w:t>
      </w:r>
      <w:r>
        <w:rPr>
          <w:lang w:val="pt-BR"/>
        </w:rPr>
        <w:t>Transredes</w:t>
      </w:r>
      <w:r>
        <w:rPr/>
        <w:t xml:space="preserve"> and BBPL), distribution marketshare (through Elektro), and privileged access to flexible and low cost Brazilian gas (through CEG/Riogas and the Gaspart LDCs), Enron has established a unique platform for the development of a substantial power generation business in Brazil.</w:t>
      </w:r>
    </w:p>
    <w:p>
      <w:pPr>
        <w:pStyle w:val="BLKmed1st1"/>
        <w:rPr/>
      </w:pPr>
      <w:r>
        <w:rPr/>
        <w:t>The generation plants and projects described in this section include:</w:t>
      </w:r>
    </w:p>
    <w:p>
      <w:pPr>
        <w:pStyle w:val="Bmed1st0"/>
        <w:numPr>
          <w:ilvl w:val="0"/>
          <w:numId w:val="2"/>
        </w:numPr>
        <w:spacing w:before="0" w:after="220"/>
        <w:rPr/>
      </w:pPr>
      <w:r>
        <w:rPr/>
        <w:t>The Cuiabá pipeline and power generation project (3 x 480 MW);</w:t>
      </w:r>
    </w:p>
    <w:p>
      <w:pPr>
        <w:pStyle w:val="Bmed1st0"/>
        <w:numPr>
          <w:ilvl w:val="0"/>
          <w:numId w:val="2"/>
        </w:numPr>
        <w:spacing w:before="0" w:after="220"/>
        <w:rPr/>
      </w:pPr>
      <w:r>
        <w:rPr/>
        <w:t>RioGen I and II (2 x 480 MW); and</w:t>
      </w:r>
    </w:p>
    <w:p>
      <w:pPr>
        <w:pStyle w:val="Bmed1st0"/>
        <w:numPr>
          <w:ilvl w:val="0"/>
          <w:numId w:val="2"/>
        </w:numPr>
        <w:spacing w:before="0" w:after="220"/>
        <w:rPr/>
      </w:pPr>
      <w:r>
        <w:rPr/>
        <w:t>Puerto Suárez (2 x 150 MW).</w:t>
      </w:r>
    </w:p>
    <w:p>
      <w:pPr>
        <w:pStyle w:val="BLKmed1st1"/>
        <w:rPr/>
      </w:pPr>
      <w:r>
        <w:rPr/>
        <w:t>These projects, of which Cuiabá I is under construction and Cuiabá II and RioGen I have Emergency Plant status, represent the platform for the development of a generation business with installed capacity of approximately 2,700 MW.  In addition, this generation business will form part of an integrated wholesale and retail energy business with unique flexibility and optionality as a result of:</w:t>
      </w:r>
    </w:p>
    <w:p>
      <w:pPr>
        <w:pStyle w:val="Bmed1st0"/>
        <w:numPr>
          <w:ilvl w:val="0"/>
          <w:numId w:val="2"/>
        </w:numPr>
        <w:spacing w:before="0" w:after="220"/>
        <w:rPr/>
      </w:pPr>
      <w:r>
        <w:rPr/>
        <w:t>Access to interruptible sources of gas;</w:t>
      </w:r>
    </w:p>
    <w:p>
      <w:pPr>
        <w:pStyle w:val="Bmed1st0"/>
        <w:numPr>
          <w:ilvl w:val="0"/>
          <w:numId w:val="2"/>
        </w:numPr>
        <w:spacing w:before="0" w:after="220"/>
        <w:rPr/>
      </w:pPr>
      <w:r>
        <w:rPr/>
        <w:t>Ownership of captive interruptible gas customers;</w:t>
      </w:r>
    </w:p>
    <w:p>
      <w:pPr>
        <w:pStyle w:val="Bmed1st0"/>
        <w:numPr>
          <w:ilvl w:val="0"/>
          <w:numId w:val="2"/>
        </w:numPr>
        <w:spacing w:before="0" w:after="220"/>
        <w:rPr/>
      </w:pPr>
      <w:r>
        <w:rPr/>
        <w:t>Availability of low cost secondary hydro energy;</w:t>
      </w:r>
    </w:p>
    <w:p>
      <w:pPr>
        <w:pStyle w:val="Bmed1st0"/>
        <w:numPr>
          <w:ilvl w:val="0"/>
          <w:numId w:val="2"/>
        </w:numPr>
        <w:spacing w:before="0" w:after="220"/>
        <w:rPr/>
      </w:pPr>
      <w:r>
        <w:rPr/>
        <w:t>Ownership of captive electricity demand; and</w:t>
      </w:r>
    </w:p>
    <w:p>
      <w:pPr>
        <w:pStyle w:val="Bmed1st0"/>
        <w:numPr>
          <w:ilvl w:val="0"/>
          <w:numId w:val="2"/>
        </w:numPr>
        <w:spacing w:before="0" w:after="220"/>
        <w:rPr>
          <w:b/>
        </w:rPr>
      </w:pPr>
      <w:r>
        <w:rPr/>
        <w:t>Equity interests in key gas transportation capacity</w:t>
      </w:r>
    </w:p>
    <w:p>
      <w:pPr>
        <w:pStyle w:val="Normal"/>
        <w:rPr>
          <w:b/>
        </w:rPr>
      </w:pPr>
      <w:r>
        <w:rPr>
          <w: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215" w:hanging="215"/>
      </w:pPr>
      <w:rPr>
        <w:rFonts w:ascii="Symbol" w:hAnsi="Symbol" w:cs="Symbol" w:hint="default"/>
        <w:sz w:val="16"/>
        <w:color w:val="000000"/>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color w:val="000000"/>
      <w:sz w:val="16"/>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0">
    <w:name w:val="B/med/1st/0"/>
    <w:basedOn w:val="Normal"/>
    <w:qFormat/>
    <w:pPr>
      <w:numPr>
        <w:ilvl w:val="0"/>
        <w:numId w:val="3"/>
      </w:numPr>
      <w:jc w:val="both"/>
    </w:pPr>
    <w:rPr>
      <w:sz w:val="22"/>
    </w:rPr>
  </w:style>
  <w:style w:type="paragraph" w:styleId="Bmed1st1">
    <w:name w:val="B/med/1st/1"/>
    <w:basedOn w:val="Bmed1st0"/>
    <w:qFormat/>
    <w:pPr>
      <w:numPr>
        <w:ilvl w:val="0"/>
        <w:numId w:val="1"/>
      </w:numPr>
      <w:spacing w:before="0" w:after="220"/>
    </w:pPr>
    <w:rPr/>
  </w:style>
  <w:style w:type="paragraph" w:styleId="BLKmed1st1">
    <w:name w:val="BLK/med/1st/1"/>
    <w:basedOn w:val="Normal"/>
    <w:qFormat/>
    <w:pPr>
      <w:spacing w:lineRule="auto" w:line="300" w:before="0" w:after="220"/>
      <w:jc w:val="both"/>
    </w:pPr>
    <w:rPr>
      <w:sz w:val="22"/>
    </w:rPr>
  </w:style>
  <w:style w:type="paragraph" w:styleId="zSectionTitle">
    <w:name w:val="z SectionTitle"/>
    <w:basedOn w:val="Normal"/>
    <w:next w:val="BLKmed1st1"/>
    <w:qFormat/>
    <w:pPr>
      <w:pBdr>
        <w:bottom w:val="single" w:sz="18" w:space="4" w:color="000000"/>
      </w:pBdr>
      <w:spacing w:before="0" w:after="280"/>
      <w:ind w:hanging="446" w:start="446" w:end="0"/>
    </w:pPr>
    <w:rPr>
      <w:smallCaps/>
      <w:sz w:val="28"/>
    </w:rPr>
  </w:style>
  <w:style w:type="paragraph" w:styleId="zSideBar">
    <w:name w:val="z SideBar"/>
    <w:basedOn w:val="Normal"/>
    <w:qFormat/>
    <w:pPr>
      <w:keepNext w:val="true"/>
    </w:pPr>
    <w:rPr>
      <w:b/>
      <w:i/>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2000-03-20T22:38:00Z</dcterms:created>
  <dc:creator>Vinson &amp; Elkins L.L.P.</dc:creator>
  <dc:description/>
  <dc:language>en-CA</dc:language>
  <cp:lastModifiedBy>Vinson &amp; Elkins L.L.P.</cp:lastModifiedBy>
  <dcterms:modified xsi:type="dcterms:W3CDTF">2000-03-20T22:38:00Z</dcterms:modified>
  <cp:revision>1</cp:revision>
  <dc:subject/>
  <dc:title>IV</dc:title>
</cp:coreProperties>
</file>