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b/>
          <w:bCs/>
        </w:rPr>
      </w:pPr>
      <w:r>
        <w:rPr>
          <w:b/>
          <w:bCs/>
        </w:rPr>
        <w:t>Brazilian Power / Home Page</w:t>
      </w:r>
    </w:p>
    <w:p>
      <w:pPr>
        <w:pStyle w:val="BodyText"/>
        <w:rPr/>
      </w:pPr>
      <w:r>
        <w:rPr/>
        <w:t xml:space="preserve">In 1999, Enron Comercializadora de Energia (ECE) became the first power marketing company to be licensed by the Agencia Nacional de Energia Elétrica (ANEEL). That same year ECE closed the first transaction made in the open market. ECE is currently one of the most active marketers in Brazil. Among its most significant achievements to date, ECE pioneered derivative structures and risk management tools in the Brazilian power market. To support trading activities, ECE and other Enron affiliates have acquired and built generating capacity and signed Power Purchase Agreements with several other market agents. </w:t>
        <w:br/>
        <w:br/>
      </w:r>
      <w:r>
        <w:br w:type="page"/>
      </w:r>
    </w:p>
    <w:p>
      <w:pPr>
        <w:pStyle w:val="Normal"/>
        <w:rPr>
          <w:rFonts w:ascii="Arial" w:hAnsi="Arial" w:cs="Arial"/>
          <w:b/>
          <w:bCs/>
          <w:color w:val="000000"/>
          <w:sz w:val="18"/>
          <w:szCs w:val="18"/>
        </w:rPr>
      </w:pPr>
      <w:r>
        <w:rPr>
          <w:rFonts w:cs="Arial" w:ascii="Arial" w:hAnsi="Arial"/>
          <w:b/>
          <w:bCs/>
          <w:color w:val="000000"/>
          <w:sz w:val="18"/>
          <w:szCs w:val="18"/>
        </w:rPr>
        <w:t>Brazilian Power / Market Information / Background</w:t>
      </w:r>
    </w:p>
    <w:p>
      <w:pPr>
        <w:pStyle w:val="NormalWeb"/>
        <w:rPr>
          <w:rFonts w:ascii="Arial" w:hAnsi="Arial" w:cs="Arial"/>
          <w:color w:val="000000"/>
          <w:sz w:val="18"/>
          <w:szCs w:val="18"/>
        </w:rPr>
      </w:pPr>
      <w:r>
        <w:rPr>
          <w:rFonts w:cs="Arial" w:ascii="Arial" w:hAnsi="Arial"/>
          <w:color w:val="000000"/>
          <w:sz w:val="18"/>
          <w:szCs w:val="18"/>
        </w:rPr>
        <w:t>Until the recent transformation of the Brazilian electricity industry, most of the generation, transmission and distribution infrastructure was operated and controlled by state-owned companies. At that time, local distribution companies had territorial concessions on which they held the monopoly of the energy supply for all industrial, commercial and residential consumers.</w:t>
      </w:r>
    </w:p>
    <w:p>
      <w:pPr>
        <w:pStyle w:val="NormalWeb"/>
        <w:rPr>
          <w:rFonts w:ascii="Arial" w:hAnsi="Arial" w:cs="Arial"/>
          <w:color w:val="000000"/>
          <w:sz w:val="18"/>
          <w:szCs w:val="18"/>
        </w:rPr>
      </w:pPr>
      <w:r>
        <w:rPr>
          <w:rFonts w:cs="Arial" w:ascii="Arial" w:hAnsi="Arial"/>
          <w:color w:val="000000"/>
          <w:sz w:val="18"/>
          <w:szCs w:val="18"/>
        </w:rPr>
        <w:t>During the 1990s, the Brazilian electricity market began to evolve from a vertically integrated monopoly to a more competitive market model. As part of the overall public sector reform, state-owned electricity companies were progressively broken-up into their generation, transmission and distribution components, a move necessary for their successful privatization and for the development of a more competitive market. In 1995, ESCELSA - the distribution company of the state of - Espirito Santo was the first power utility to be privatized. From then on, a series of other state-owned distribution and generation companies were transferred totally or partially to private investors. Today, the privatization of the distribution companies is almost complete, and that of the generators continues at a rapid pace.</w:t>
      </w:r>
    </w:p>
    <w:p>
      <w:pPr>
        <w:pStyle w:val="NormalWeb"/>
        <w:rPr>
          <w:rFonts w:ascii="Arial" w:hAnsi="Arial" w:cs="Arial"/>
          <w:color w:val="000000"/>
          <w:sz w:val="18"/>
          <w:szCs w:val="18"/>
        </w:rPr>
      </w:pPr>
      <w:r>
        <w:rPr>
          <w:rFonts w:cs="Arial" w:ascii="Arial" w:hAnsi="Arial"/>
          <w:color w:val="000000"/>
          <w:sz w:val="18"/>
          <w:szCs w:val="18"/>
        </w:rPr>
        <w:t>In 1995, Law No. 9,074 expanded the legal basis for a competitive environment, permitting large energy consumers to purchase power in the wholesale market. The law also introduced the concept of Independent Power Producers (IPPs) in Brazil and ensured open access on all the transmission and distribution networks.</w:t>
      </w:r>
    </w:p>
    <w:p>
      <w:pPr>
        <w:pStyle w:val="NormalWeb"/>
        <w:rPr>
          <w:rFonts w:ascii="Arial" w:hAnsi="Arial" w:cs="Arial"/>
          <w:color w:val="000000"/>
          <w:sz w:val="18"/>
          <w:szCs w:val="18"/>
        </w:rPr>
      </w:pPr>
      <w:r>
        <w:rPr>
          <w:rFonts w:cs="Arial" w:ascii="Arial" w:hAnsi="Arial"/>
          <w:color w:val="000000"/>
          <w:sz w:val="18"/>
          <w:szCs w:val="18"/>
        </w:rPr>
        <w:t>In 1996, the Brazilian Electricity Regulatory Agency (Agência Nacional de Energia Elétrica - ANEEL), was created under Law No. 9,427. ANEEL's mission is to provide favorable conditions for the development of a competitive electricity market based on a balanced relationship between its agents for the benefit of consumers.</w:t>
      </w:r>
    </w:p>
    <w:p>
      <w:pPr>
        <w:pStyle w:val="NormalWeb"/>
        <w:rPr>
          <w:rFonts w:ascii="Arial" w:hAnsi="Arial" w:cs="Arial"/>
          <w:color w:val="000000"/>
          <w:sz w:val="18"/>
          <w:szCs w:val="18"/>
        </w:rPr>
      </w:pPr>
      <w:r>
        <w:rPr>
          <w:rFonts w:cs="Arial" w:ascii="Arial" w:hAnsi="Arial"/>
          <w:color w:val="000000"/>
          <w:sz w:val="18"/>
          <w:szCs w:val="18"/>
        </w:rPr>
        <w:t>Two years after the creation of ANEEL, the Brazilian National Congress established the Independent System Operator (Operador Nacional do Sistema Elétrico - ONS). One of duties of the ONS is to centrally dispatch all power plants with capacity greater than 50 MW. This responsibility is meant to optimize the integrated power system, ensure voltage preservation and monitor reservoir levels, with the additional objective of minimizing the marginal cost of power. ONS is also responsible for the reliability of the transmission grid.</w:t>
      </w:r>
    </w:p>
    <w:p>
      <w:pPr>
        <w:pStyle w:val="NormalWeb"/>
        <w:rPr>
          <w:rFonts w:ascii="Arial" w:hAnsi="Arial" w:cs="Arial"/>
          <w:color w:val="000000"/>
          <w:sz w:val="18"/>
          <w:szCs w:val="18"/>
        </w:rPr>
      </w:pPr>
      <w:r>
        <w:rPr>
          <w:rFonts w:cs="Arial" w:ascii="Arial" w:hAnsi="Arial"/>
          <w:color w:val="000000"/>
          <w:sz w:val="18"/>
          <w:szCs w:val="18"/>
        </w:rPr>
        <w:t>In 1998, the wholesale energy market (Mercado Atacadista de Energia Elétrica - MAE) was created by Federal Decree No. 2,655. This decree also introduced a transitional period for the implementation of the wholesale market, with long-term supply agreements (Contratos Iniciais, or Initial Contracts) that were committing most of the existing capacity to cover the then prevailing demand of local distribution companies.</w:t>
      </w:r>
    </w:p>
    <w:p>
      <w:pPr>
        <w:pStyle w:val="NormalWeb"/>
        <w:rPr>
          <w:rFonts w:ascii="Arial" w:hAnsi="Arial" w:cs="Arial"/>
          <w:color w:val="000000"/>
          <w:sz w:val="18"/>
          <w:szCs w:val="18"/>
        </w:rPr>
      </w:pPr>
      <w:r>
        <w:rPr>
          <w:rFonts w:cs="Arial" w:ascii="Arial" w:hAnsi="Arial"/>
          <w:color w:val="000000"/>
          <w:sz w:val="18"/>
          <w:szCs w:val="18"/>
        </w:rPr>
        <w:t>MAE is a private association whose members are all major generation, distribution and marketing companies. Its "modus operandi" is ruled by the Market Agreement signed by all agents, which provides guidelines for the operations, obligations and rights of its members. The administrative functions of the wholesale energy market are carried out by Administradora de Serviços do Mercado Atacadista de Energia Elétrica (ASMAE).</w:t>
      </w:r>
    </w:p>
    <w:p>
      <w:pPr>
        <w:pStyle w:val="NormalWeb"/>
        <w:rPr>
          <w:rFonts w:ascii="Arial" w:hAnsi="Arial" w:cs="Arial"/>
          <w:color w:val="000000"/>
          <w:sz w:val="18"/>
          <w:szCs w:val="18"/>
        </w:rPr>
      </w:pPr>
      <w:r>
        <w:rPr>
          <w:rFonts w:cs="Arial" w:ascii="Arial" w:hAnsi="Arial"/>
          <w:color w:val="000000"/>
          <w:sz w:val="18"/>
          <w:szCs w:val="18"/>
        </w:rPr>
        <w:t>One of the most significant accomplishments of MAE was to define and submit the Definite Market Rules and procedures for ANEEL's endorsement. These were partially approved in July 2000 and made effective as of September 2000.</w:t>
      </w:r>
    </w:p>
    <w:p>
      <w:pPr>
        <w:pStyle w:val="NormalWeb"/>
        <w:rPr>
          <w:rFonts w:ascii="Arial" w:hAnsi="Arial" w:cs="Arial"/>
          <w:color w:val="000000"/>
          <w:sz w:val="18"/>
          <w:szCs w:val="18"/>
        </w:rPr>
      </w:pPr>
      <w:r>
        <w:rPr>
          <w:rFonts w:cs="Arial" w:ascii="Arial" w:hAnsi="Arial"/>
          <w:color w:val="000000"/>
          <w:sz w:val="18"/>
          <w:szCs w:val="18"/>
        </w:rPr>
        <w:t>Until recently, Brazil had two interconnected transmission systems, one encompassing the utilities of the South and Southeast regions, and the other including the Northeast and part of the North regions. In February 1999, these two systems were integrated by a first 500 kV interconnection, with an approximate transmission capacity of 1000 MW. This North-South link created one national interconnected power system.</w:t>
      </w:r>
    </w:p>
    <w:p>
      <w:pPr>
        <w:pStyle w:val="Normal"/>
        <w:rPr>
          <w:rFonts w:ascii="Arial" w:hAnsi="Arial" w:cs="Arial"/>
          <w:color w:val="000000"/>
          <w:sz w:val="18"/>
          <w:szCs w:val="18"/>
        </w:rPr>
      </w:pPr>
      <w:r>
        <w:rPr>
          <w:rFonts w:cs="Arial" w:ascii="Arial" w:hAnsi="Arial"/>
          <w:color w:val="000000"/>
          <w:sz w:val="18"/>
          <w:szCs w:val="18"/>
        </w:rPr>
      </w:r>
      <w:r>
        <w:br w:type="page"/>
      </w:r>
    </w:p>
    <w:p>
      <w:pPr>
        <w:pStyle w:val="Heading2"/>
        <w:ind w:hanging="0" w:start="0"/>
        <w:rPr>
          <w:b w:val="false"/>
          <w:bCs w:val="false"/>
        </w:rPr>
      </w:pPr>
      <w:r>
        <w:rPr/>
        <w:t>Brazilian Power / Market Information / Current Market</w:t>
      </w:r>
    </w:p>
    <w:p>
      <w:pPr>
        <w:pStyle w:val="NormalWeb"/>
        <w:rPr>
          <w:rFonts w:ascii="Arial" w:hAnsi="Arial" w:cs="Arial"/>
          <w:color w:val="000000"/>
          <w:sz w:val="18"/>
          <w:szCs w:val="18"/>
        </w:rPr>
      </w:pPr>
      <w:r>
        <w:rPr>
          <w:rFonts w:cs="Arial" w:ascii="Arial" w:hAnsi="Arial"/>
          <w:color w:val="000000"/>
          <w:sz w:val="18"/>
          <w:szCs w:val="18"/>
        </w:rPr>
        <w:t xml:space="preserve">Brazil is one of the world's largest hydroelectric power producers in the world. Currently, 91% of its generation capacity is hydro based. Thermal units account for 6% of total capacity and the remaining 3% is nuclear. Natural gas reserves in Brazil, Bolivia and Argentina provide an abundant source of fuel for new thermal power plants to be developed. </w:t>
      </w:r>
    </w:p>
    <w:p>
      <w:pPr>
        <w:pStyle w:val="NormalWeb"/>
        <w:rPr/>
      </w:pPr>
      <w:r>
        <w:rPr/>
        <w:t>The interconnected system is currently divided into four sub-markets: South, Southeast, Northeast and North. These sub-markets are the result of persistent and substantial transmission constraints between them. Each sub-market is effectively treated as a separate market, where spot prices reflect local supply and demand equilibrium.</w:t>
      </w:r>
    </w:p>
    <w:tbl>
      <w:tblPr>
        <w:tblW w:w="7681" w:type="dxa"/>
        <w:jc w:val="start"/>
        <w:tblInd w:w="-45" w:type="dxa"/>
        <w:tblLayout w:type="fixed"/>
        <w:tblCellMar>
          <w:top w:w="15" w:type="dxa"/>
          <w:start w:w="15" w:type="dxa"/>
          <w:bottom w:w="15" w:type="dxa"/>
          <w:end w:w="15" w:type="dxa"/>
        </w:tblCellMar>
      </w:tblPr>
      <w:tblGrid>
        <w:gridCol w:w="1878"/>
        <w:gridCol w:w="1855"/>
        <w:gridCol w:w="1326"/>
        <w:gridCol w:w="1497"/>
        <w:gridCol w:w="1125"/>
      </w:tblGrid>
      <w:tr>
        <w:trPr>
          <w:trHeight w:val="285" w:hRule="atLeast"/>
        </w:trPr>
        <w:tc>
          <w:tcPr>
            <w:tcW w:w="1878" w:type="dxa"/>
            <w:tcBorders/>
          </w:tcPr>
          <w:p>
            <w:pPr>
              <w:pStyle w:val="Normal"/>
              <w:snapToGrid w:val="false"/>
              <w:rPr>
                <w:rFonts w:ascii="Arial" w:hAnsi="Arial" w:cs="Arial"/>
                <w:b/>
                <w:bCs/>
                <w:sz w:val="18"/>
                <w:szCs w:val="18"/>
              </w:rPr>
            </w:pPr>
            <w:r>
              <w:rPr>
                <w:rFonts w:cs="Arial" w:ascii="Arial" w:hAnsi="Arial"/>
                <w:b/>
                <w:bCs/>
                <w:sz w:val="18"/>
                <w:szCs w:val="18"/>
              </w:rPr>
            </w:r>
          </w:p>
        </w:tc>
        <w:tc>
          <w:tcPr>
            <w:tcW w:w="1855" w:type="dxa"/>
            <w:tcBorders/>
            <w:vAlign w:val="center"/>
          </w:tcPr>
          <w:p>
            <w:pPr>
              <w:pStyle w:val="Normal"/>
              <w:rPr>
                <w:rFonts w:ascii="Arial" w:hAnsi="Arial" w:eastAsia="Arial Unicode MS" w:cs="Arial"/>
                <w:sz w:val="18"/>
                <w:szCs w:val="18"/>
              </w:rPr>
            </w:pPr>
            <w:r>
              <w:rPr>
                <w:rFonts w:cs="Arial" w:ascii="Arial" w:hAnsi="Arial"/>
                <w:b/>
                <w:bCs/>
                <w:sz w:val="18"/>
                <w:szCs w:val="18"/>
              </w:rPr>
              <w:t>Southeast</w:t>
            </w:r>
          </w:p>
        </w:tc>
        <w:tc>
          <w:tcPr>
            <w:tcW w:w="1326" w:type="dxa"/>
            <w:tcBorders/>
            <w:vAlign w:val="center"/>
          </w:tcPr>
          <w:p>
            <w:pPr>
              <w:pStyle w:val="Normal"/>
              <w:rPr>
                <w:rFonts w:ascii="Arial" w:hAnsi="Arial" w:eastAsia="Arial Unicode MS" w:cs="Arial"/>
                <w:sz w:val="18"/>
                <w:szCs w:val="18"/>
              </w:rPr>
            </w:pPr>
            <w:r>
              <w:rPr>
                <w:rFonts w:cs="Arial" w:ascii="Arial" w:hAnsi="Arial"/>
                <w:b/>
                <w:bCs/>
                <w:sz w:val="18"/>
                <w:szCs w:val="18"/>
              </w:rPr>
              <w:t>South</w:t>
            </w:r>
          </w:p>
        </w:tc>
        <w:tc>
          <w:tcPr>
            <w:tcW w:w="1497" w:type="dxa"/>
            <w:tcBorders/>
            <w:vAlign w:val="center"/>
          </w:tcPr>
          <w:p>
            <w:pPr>
              <w:pStyle w:val="Normal"/>
              <w:rPr>
                <w:rFonts w:ascii="Arial" w:hAnsi="Arial" w:eastAsia="Arial Unicode MS" w:cs="Arial"/>
                <w:sz w:val="18"/>
                <w:szCs w:val="18"/>
              </w:rPr>
            </w:pPr>
            <w:r>
              <w:rPr>
                <w:rFonts w:cs="Arial" w:ascii="Arial" w:hAnsi="Arial"/>
                <w:b/>
                <w:bCs/>
                <w:sz w:val="18"/>
                <w:szCs w:val="18"/>
              </w:rPr>
              <w:t>Northeast</w:t>
            </w:r>
          </w:p>
        </w:tc>
        <w:tc>
          <w:tcPr>
            <w:tcW w:w="1125" w:type="dxa"/>
            <w:tcBorders/>
            <w:vAlign w:val="center"/>
          </w:tcPr>
          <w:p>
            <w:pPr>
              <w:pStyle w:val="Normal"/>
              <w:rPr>
                <w:rFonts w:ascii="Arial" w:hAnsi="Arial" w:eastAsia="Arial Unicode MS" w:cs="Arial"/>
                <w:sz w:val="18"/>
                <w:szCs w:val="18"/>
              </w:rPr>
            </w:pPr>
            <w:r>
              <w:rPr>
                <w:rFonts w:cs="Arial" w:ascii="Arial" w:hAnsi="Arial"/>
                <w:b/>
                <w:bCs/>
                <w:sz w:val="18"/>
                <w:szCs w:val="18"/>
              </w:rPr>
              <w:t>North</w:t>
            </w:r>
          </w:p>
        </w:tc>
      </w:tr>
      <w:tr>
        <w:trPr/>
        <w:tc>
          <w:tcPr>
            <w:tcW w:w="1878" w:type="dxa"/>
            <w:tcBorders/>
            <w:shd w:fill="FFFFFF" w:val="clear"/>
            <w:vAlign w:val="center"/>
          </w:tcPr>
          <w:p>
            <w:pPr>
              <w:pStyle w:val="Normal"/>
              <w:rPr>
                <w:rFonts w:ascii="Arial" w:hAnsi="Arial" w:eastAsia="Arial Unicode MS" w:cs="Arial"/>
                <w:sz w:val="18"/>
                <w:szCs w:val="18"/>
              </w:rPr>
            </w:pPr>
            <w:r>
              <w:rPr>
                <w:rFonts w:cs="Arial" w:ascii="Arial" w:hAnsi="Arial"/>
                <w:b/>
                <w:bCs/>
                <w:sz w:val="18"/>
                <w:szCs w:val="18"/>
              </w:rPr>
              <w:t>Installed Capacity</w:t>
            </w:r>
          </w:p>
        </w:tc>
        <w:tc>
          <w:tcPr>
            <w:tcW w:w="1855" w:type="dxa"/>
            <w:tcBorders/>
            <w:shd w:fill="DCE6F3" w:val="clear"/>
            <w:vAlign w:val="center"/>
          </w:tcPr>
          <w:p>
            <w:pPr>
              <w:pStyle w:val="Normal"/>
              <w:rPr>
                <w:rFonts w:ascii="Arial" w:hAnsi="Arial" w:eastAsia="Arial Unicode MS" w:cs="Arial"/>
                <w:sz w:val="18"/>
                <w:szCs w:val="18"/>
              </w:rPr>
            </w:pPr>
            <w:r>
              <w:rPr>
                <w:rFonts w:cs="Arial" w:ascii="Arial" w:hAnsi="Arial"/>
                <w:sz w:val="18"/>
                <w:szCs w:val="18"/>
              </w:rPr>
              <w:t>59%</w:t>
            </w:r>
          </w:p>
        </w:tc>
        <w:tc>
          <w:tcPr>
            <w:tcW w:w="1326" w:type="dxa"/>
            <w:tcBorders/>
            <w:shd w:fill="DCE6F3" w:val="clear"/>
            <w:vAlign w:val="center"/>
          </w:tcPr>
          <w:p>
            <w:pPr>
              <w:pStyle w:val="Normal"/>
              <w:rPr>
                <w:rFonts w:ascii="Arial" w:hAnsi="Arial" w:eastAsia="Arial Unicode MS" w:cs="Arial"/>
                <w:sz w:val="18"/>
                <w:szCs w:val="18"/>
              </w:rPr>
            </w:pPr>
            <w:r>
              <w:rPr>
                <w:rFonts w:cs="Arial" w:ascii="Arial" w:hAnsi="Arial"/>
                <w:sz w:val="18"/>
                <w:szCs w:val="18"/>
              </w:rPr>
              <w:t>18%</w:t>
            </w:r>
          </w:p>
        </w:tc>
        <w:tc>
          <w:tcPr>
            <w:tcW w:w="1497" w:type="dxa"/>
            <w:tcBorders/>
            <w:shd w:fill="DCE6F3" w:val="clear"/>
            <w:vAlign w:val="center"/>
          </w:tcPr>
          <w:p>
            <w:pPr>
              <w:pStyle w:val="Normal"/>
              <w:rPr>
                <w:rFonts w:ascii="Arial" w:hAnsi="Arial" w:eastAsia="Arial Unicode MS" w:cs="Arial"/>
                <w:sz w:val="18"/>
                <w:szCs w:val="18"/>
              </w:rPr>
            </w:pPr>
            <w:r>
              <w:rPr>
                <w:rFonts w:cs="Arial" w:ascii="Arial" w:hAnsi="Arial"/>
                <w:sz w:val="18"/>
                <w:szCs w:val="18"/>
              </w:rPr>
              <w:t>16%</w:t>
            </w:r>
          </w:p>
        </w:tc>
        <w:tc>
          <w:tcPr>
            <w:tcW w:w="1125" w:type="dxa"/>
            <w:tcBorders/>
            <w:shd w:fill="DCE6F3" w:val="clear"/>
            <w:vAlign w:val="center"/>
          </w:tcPr>
          <w:p>
            <w:pPr>
              <w:pStyle w:val="Normal"/>
              <w:rPr>
                <w:rFonts w:ascii="Arial" w:hAnsi="Arial" w:eastAsia="Arial Unicode MS" w:cs="Arial"/>
                <w:sz w:val="18"/>
                <w:szCs w:val="18"/>
              </w:rPr>
            </w:pPr>
            <w:r>
              <w:rPr>
                <w:rFonts w:cs="Arial" w:ascii="Arial" w:hAnsi="Arial"/>
                <w:sz w:val="18"/>
                <w:szCs w:val="18"/>
              </w:rPr>
              <w:t>7%</w:t>
            </w:r>
          </w:p>
        </w:tc>
      </w:tr>
      <w:tr>
        <w:trPr/>
        <w:tc>
          <w:tcPr>
            <w:tcW w:w="1878" w:type="dxa"/>
            <w:tcBorders/>
            <w:vAlign w:val="center"/>
          </w:tcPr>
          <w:p>
            <w:pPr>
              <w:pStyle w:val="Normal"/>
              <w:rPr>
                <w:rFonts w:ascii="Arial" w:hAnsi="Arial" w:eastAsia="Arial Unicode MS" w:cs="Arial"/>
                <w:sz w:val="18"/>
                <w:szCs w:val="18"/>
              </w:rPr>
            </w:pPr>
            <w:r>
              <w:rPr>
                <w:rFonts w:cs="Arial" w:ascii="Arial" w:hAnsi="Arial"/>
                <w:b/>
                <w:bCs/>
                <w:sz w:val="18"/>
                <w:szCs w:val="18"/>
              </w:rPr>
              <w:t>Total Consumption</w:t>
            </w:r>
          </w:p>
        </w:tc>
        <w:tc>
          <w:tcPr>
            <w:tcW w:w="1855" w:type="dxa"/>
            <w:tcBorders/>
            <w:vAlign w:val="center"/>
          </w:tcPr>
          <w:p>
            <w:pPr>
              <w:pStyle w:val="Normal"/>
              <w:rPr>
                <w:rFonts w:ascii="Arial" w:hAnsi="Arial" w:eastAsia="Arial Unicode MS" w:cs="Arial"/>
                <w:sz w:val="18"/>
                <w:szCs w:val="18"/>
              </w:rPr>
            </w:pPr>
            <w:r>
              <w:rPr>
                <w:rFonts w:cs="Arial" w:ascii="Arial" w:hAnsi="Arial"/>
                <w:sz w:val="18"/>
                <w:szCs w:val="18"/>
              </w:rPr>
              <w:t>63%</w:t>
            </w:r>
          </w:p>
        </w:tc>
        <w:tc>
          <w:tcPr>
            <w:tcW w:w="1326" w:type="dxa"/>
            <w:tcBorders/>
            <w:vAlign w:val="center"/>
          </w:tcPr>
          <w:p>
            <w:pPr>
              <w:pStyle w:val="Normal"/>
              <w:rPr>
                <w:rFonts w:ascii="Arial" w:hAnsi="Arial" w:eastAsia="Arial Unicode MS" w:cs="Arial"/>
                <w:sz w:val="18"/>
                <w:szCs w:val="18"/>
              </w:rPr>
            </w:pPr>
            <w:r>
              <w:rPr>
                <w:rFonts w:cs="Arial" w:ascii="Arial" w:hAnsi="Arial"/>
                <w:sz w:val="18"/>
                <w:szCs w:val="18"/>
              </w:rPr>
              <w:t>17%</w:t>
            </w:r>
          </w:p>
        </w:tc>
        <w:tc>
          <w:tcPr>
            <w:tcW w:w="1497" w:type="dxa"/>
            <w:tcBorders/>
            <w:vAlign w:val="center"/>
          </w:tcPr>
          <w:p>
            <w:pPr>
              <w:pStyle w:val="Normal"/>
              <w:rPr>
                <w:rFonts w:ascii="Arial" w:hAnsi="Arial" w:eastAsia="Arial Unicode MS" w:cs="Arial"/>
                <w:sz w:val="18"/>
                <w:szCs w:val="18"/>
              </w:rPr>
            </w:pPr>
            <w:r>
              <w:rPr>
                <w:rFonts w:cs="Arial" w:ascii="Arial" w:hAnsi="Arial"/>
                <w:sz w:val="18"/>
                <w:szCs w:val="18"/>
              </w:rPr>
              <w:t>14%</w:t>
            </w:r>
          </w:p>
        </w:tc>
        <w:tc>
          <w:tcPr>
            <w:tcW w:w="1125" w:type="dxa"/>
            <w:tcBorders/>
            <w:vAlign w:val="center"/>
          </w:tcPr>
          <w:p>
            <w:pPr>
              <w:pStyle w:val="Normal"/>
              <w:rPr>
                <w:rFonts w:ascii="Arial" w:hAnsi="Arial" w:eastAsia="Arial Unicode MS" w:cs="Arial"/>
                <w:sz w:val="18"/>
                <w:szCs w:val="18"/>
              </w:rPr>
            </w:pPr>
            <w:r>
              <w:rPr>
                <w:rFonts w:cs="Arial" w:ascii="Arial" w:hAnsi="Arial"/>
                <w:sz w:val="18"/>
                <w:szCs w:val="18"/>
              </w:rPr>
              <w:t>6%</w:t>
            </w:r>
          </w:p>
        </w:tc>
      </w:tr>
      <w:tr>
        <w:trPr/>
        <w:tc>
          <w:tcPr>
            <w:tcW w:w="1878" w:type="dxa"/>
            <w:tcBorders/>
          </w:tcPr>
          <w:p>
            <w:pPr>
              <w:pStyle w:val="Normal"/>
              <w:rPr>
                <w:rFonts w:ascii="Arial" w:hAnsi="Arial" w:eastAsia="Arial Unicode MS" w:cs="Arial"/>
                <w:sz w:val="18"/>
                <w:szCs w:val="18"/>
              </w:rPr>
            </w:pPr>
            <w:r>
              <w:rPr>
                <w:rFonts w:cs="Arial" w:ascii="Arial" w:hAnsi="Arial"/>
                <w:b/>
                <w:bCs/>
                <w:sz w:val="18"/>
                <w:szCs w:val="18"/>
              </w:rPr>
              <w:t>States</w:t>
            </w:r>
          </w:p>
        </w:tc>
        <w:tc>
          <w:tcPr>
            <w:tcW w:w="1855" w:type="dxa"/>
            <w:tcBorders/>
            <w:shd w:fill="DCE6F3" w:val="clear"/>
          </w:tcPr>
          <w:p>
            <w:pPr>
              <w:pStyle w:val="Normal"/>
              <w:rPr>
                <w:rFonts w:ascii="Arial" w:hAnsi="Arial" w:eastAsia="Arial Unicode MS" w:cs="Arial"/>
                <w:sz w:val="18"/>
                <w:szCs w:val="18"/>
              </w:rPr>
            </w:pPr>
            <w:r>
              <w:rPr>
                <w:rFonts w:cs="Arial" w:ascii="Arial" w:hAnsi="Arial"/>
                <w:sz w:val="18"/>
                <w:szCs w:val="18"/>
              </w:rPr>
              <w:t>São Paulo</w:t>
              <w:br/>
              <w:t>Rio de Janeiro</w:t>
              <w:br/>
              <w:t xml:space="preserve">Minas Gerais </w:t>
              <w:br/>
              <w:t>Espírito Santo</w:t>
              <w:br/>
              <w:t>Goiás</w:t>
              <w:br/>
              <w:t xml:space="preserve">Distrito Federal </w:t>
              <w:br/>
              <w:t>Mato Grosso</w:t>
            </w:r>
          </w:p>
        </w:tc>
        <w:tc>
          <w:tcPr>
            <w:tcW w:w="1326" w:type="dxa"/>
            <w:tcBorders/>
            <w:shd w:fill="DCE6F3" w:val="clear"/>
          </w:tcPr>
          <w:p>
            <w:pPr>
              <w:pStyle w:val="Normal"/>
              <w:rPr>
                <w:rFonts w:ascii="Arial" w:hAnsi="Arial" w:eastAsia="Arial Unicode MS" w:cs="Arial"/>
                <w:sz w:val="18"/>
                <w:szCs w:val="18"/>
              </w:rPr>
            </w:pPr>
            <w:r>
              <w:rPr>
                <w:rFonts w:cs="Arial" w:ascii="Arial" w:hAnsi="Arial"/>
                <w:sz w:val="18"/>
                <w:szCs w:val="18"/>
              </w:rPr>
              <w:t>Rio Grande do Sul</w:t>
              <w:br/>
              <w:t>Santa Catarina</w:t>
              <w:br/>
              <w:t>Paraná</w:t>
              <w:br/>
              <w:t>Mato Grosso do Sul</w:t>
            </w:r>
          </w:p>
        </w:tc>
        <w:tc>
          <w:tcPr>
            <w:tcW w:w="1497" w:type="dxa"/>
            <w:tcBorders/>
            <w:shd w:fill="DCE6F3" w:val="clear"/>
            <w:vAlign w:val="center"/>
          </w:tcPr>
          <w:p>
            <w:pPr>
              <w:pStyle w:val="Normal"/>
              <w:rPr>
                <w:rFonts w:ascii="Arial" w:hAnsi="Arial" w:eastAsia="Arial Unicode MS" w:cs="Arial"/>
                <w:sz w:val="18"/>
                <w:szCs w:val="18"/>
              </w:rPr>
            </w:pPr>
            <w:r>
              <w:rPr>
                <w:rFonts w:cs="Arial" w:ascii="Arial" w:hAnsi="Arial"/>
                <w:sz w:val="18"/>
                <w:szCs w:val="18"/>
              </w:rPr>
              <w:t>Bahia</w:t>
              <w:br/>
              <w:t>Sergipe</w:t>
              <w:br/>
              <w:t>Alagoas</w:t>
              <w:br/>
              <w:t>Pernambuco</w:t>
              <w:br/>
              <w:t>Paraíba</w:t>
              <w:br/>
              <w:t xml:space="preserve">Rio Grande do Norte </w:t>
              <w:br/>
              <w:t>Ceará</w:t>
              <w:br/>
              <w:t>Piauí</w:t>
              <w:br/>
              <w:t>Maranhão</w:t>
            </w:r>
          </w:p>
        </w:tc>
        <w:tc>
          <w:tcPr>
            <w:tcW w:w="1125" w:type="dxa"/>
            <w:tcBorders/>
            <w:shd w:fill="DCE6F3" w:val="clear"/>
          </w:tcPr>
          <w:p>
            <w:pPr>
              <w:pStyle w:val="Normal"/>
              <w:rPr>
                <w:rFonts w:ascii="Arial" w:hAnsi="Arial" w:eastAsia="Arial Unicode MS" w:cs="Arial"/>
                <w:sz w:val="18"/>
                <w:szCs w:val="18"/>
              </w:rPr>
            </w:pPr>
            <w:r>
              <w:rPr>
                <w:rFonts w:cs="Arial" w:ascii="Arial" w:hAnsi="Arial"/>
                <w:sz w:val="18"/>
                <w:szCs w:val="18"/>
              </w:rPr>
              <w:t>Tocantins</w:t>
              <w:br/>
              <w:t>Pará</w:t>
              <w:br/>
              <w:t>Amapá</w:t>
              <w:br/>
              <w:t>Roraima</w:t>
              <w:br/>
              <w:t>Amazonas</w:t>
              <w:br/>
              <w:t>Acre</w:t>
              <w:br/>
              <w:t>Rondônia</w:t>
            </w:r>
          </w:p>
        </w:tc>
      </w:tr>
      <w:tr>
        <w:trPr>
          <w:trHeight w:val="30" w:hRule="atLeast"/>
        </w:trPr>
        <w:tc>
          <w:tcPr>
            <w:tcW w:w="1878" w:type="dxa"/>
            <w:tcBorders/>
          </w:tcPr>
          <w:p>
            <w:pPr>
              <w:pStyle w:val="Normal"/>
              <w:spacing w:lineRule="atLeast" w:line="30"/>
              <w:rPr>
                <w:rFonts w:ascii="Arial" w:hAnsi="Arial" w:eastAsia="Arial Unicode MS" w:cs="Arial"/>
                <w:sz w:val="18"/>
                <w:szCs w:val="18"/>
              </w:rPr>
            </w:pPr>
            <w:r>
              <w:rPr>
                <w:rFonts w:cs="Arial" w:ascii="Arial" w:hAnsi="Arial"/>
                <w:b/>
                <w:bCs/>
                <w:sz w:val="18"/>
                <w:szCs w:val="18"/>
              </w:rPr>
              <w:t>Main City</w:t>
            </w:r>
          </w:p>
        </w:tc>
        <w:tc>
          <w:tcPr>
            <w:tcW w:w="1855" w:type="dxa"/>
            <w:tcBorders/>
          </w:tcPr>
          <w:p>
            <w:pPr>
              <w:pStyle w:val="Normal"/>
              <w:spacing w:lineRule="atLeast" w:line="30"/>
              <w:rPr>
                <w:rFonts w:ascii="Arial" w:hAnsi="Arial" w:eastAsia="Arial Unicode MS" w:cs="Arial"/>
                <w:sz w:val="18"/>
                <w:szCs w:val="18"/>
              </w:rPr>
            </w:pPr>
            <w:r>
              <w:rPr>
                <w:rFonts w:cs="Arial" w:ascii="Arial" w:hAnsi="Arial"/>
                <w:sz w:val="18"/>
                <w:szCs w:val="18"/>
              </w:rPr>
              <w:t xml:space="preserve">São Paulo </w:t>
            </w:r>
          </w:p>
        </w:tc>
        <w:tc>
          <w:tcPr>
            <w:tcW w:w="1326" w:type="dxa"/>
            <w:tcBorders/>
          </w:tcPr>
          <w:p>
            <w:pPr>
              <w:pStyle w:val="Normal"/>
              <w:spacing w:lineRule="atLeast" w:line="30"/>
              <w:rPr>
                <w:rFonts w:ascii="Arial" w:hAnsi="Arial" w:eastAsia="Arial Unicode MS" w:cs="Arial"/>
                <w:sz w:val="18"/>
                <w:szCs w:val="18"/>
              </w:rPr>
            </w:pPr>
            <w:r>
              <w:rPr>
                <w:rFonts w:cs="Arial" w:ascii="Arial" w:hAnsi="Arial"/>
                <w:sz w:val="18"/>
                <w:szCs w:val="18"/>
              </w:rPr>
              <w:t>Porto Alegre</w:t>
            </w:r>
          </w:p>
        </w:tc>
        <w:tc>
          <w:tcPr>
            <w:tcW w:w="1497" w:type="dxa"/>
            <w:tcBorders/>
          </w:tcPr>
          <w:p>
            <w:pPr>
              <w:pStyle w:val="Normal"/>
              <w:spacing w:lineRule="atLeast" w:line="30"/>
              <w:rPr>
                <w:rFonts w:ascii="Arial" w:hAnsi="Arial" w:eastAsia="Arial Unicode MS" w:cs="Arial"/>
                <w:sz w:val="18"/>
                <w:szCs w:val="18"/>
              </w:rPr>
            </w:pPr>
            <w:r>
              <w:rPr>
                <w:rFonts w:cs="Arial" w:ascii="Arial" w:hAnsi="Arial"/>
                <w:sz w:val="18"/>
                <w:szCs w:val="18"/>
              </w:rPr>
              <w:t>Salvador</w:t>
            </w:r>
          </w:p>
        </w:tc>
        <w:tc>
          <w:tcPr>
            <w:tcW w:w="1125" w:type="dxa"/>
            <w:tcBorders/>
          </w:tcPr>
          <w:p>
            <w:pPr>
              <w:pStyle w:val="Normal"/>
              <w:spacing w:lineRule="atLeast" w:line="30"/>
              <w:rPr>
                <w:rFonts w:ascii="Arial" w:hAnsi="Arial" w:eastAsia="Arial Unicode MS" w:cs="Arial"/>
                <w:sz w:val="18"/>
                <w:szCs w:val="18"/>
              </w:rPr>
            </w:pPr>
            <w:r>
              <w:rPr>
                <w:rFonts w:cs="Arial" w:ascii="Arial" w:hAnsi="Arial"/>
                <w:sz w:val="18"/>
                <w:szCs w:val="18"/>
              </w:rPr>
              <w:t>Belém</w:t>
            </w:r>
          </w:p>
        </w:tc>
      </w:tr>
    </w:tbl>
    <w:p>
      <w:pPr>
        <w:pStyle w:val="italiccopy"/>
        <w:rPr/>
      </w:pPr>
      <w:r>
        <w:rPr/>
        <w:t>Although sub-markets are represented as being divided according to the states shown above, their actual definition depends on the existence of transmission constraints between them. In addition, the number and size of sub-markes may be revised periodically by ANEEL and the table above illustrates their current definition only. Finally, Itaipu hydro generator is considered an integral part of the Southeast sub-market, even though it is located at the border of Paraguay and Brazil, in the State of Paraná.</w:t>
      </w:r>
    </w:p>
    <w:p>
      <w:pPr>
        <w:pStyle w:val="NormalWeb"/>
        <w:rPr>
          <w:rFonts w:ascii="Arial" w:hAnsi="Arial" w:cs="Arial"/>
          <w:color w:val="000000"/>
          <w:sz w:val="18"/>
          <w:szCs w:val="18"/>
        </w:rPr>
      </w:pPr>
      <w:r>
        <w:rPr>
          <w:rFonts w:cs="Arial" w:ascii="Arial" w:hAnsi="Arial"/>
          <w:color w:val="000000"/>
          <w:sz w:val="18"/>
          <w:szCs w:val="18"/>
        </w:rPr>
        <w:t>Electricity production in the interconnected grid for the year 2000 reached 360 TWh, supplying a demand that has been growing annually at an average of 4.5% over the last five years. Only 3.4% of supply and demand in the country is isolated from the interconnected system, and it is mainly confined to the Amazon region.</w:t>
      </w:r>
    </w:p>
    <w:p>
      <w:pPr>
        <w:pStyle w:val="NormalWeb"/>
        <w:rPr>
          <w:rFonts w:ascii="Arial" w:hAnsi="Arial" w:cs="Arial"/>
          <w:color w:val="000000"/>
          <w:sz w:val="18"/>
          <w:szCs w:val="18"/>
        </w:rPr>
      </w:pPr>
      <w:r>
        <w:rPr>
          <w:rFonts w:cs="Arial" w:ascii="Arial" w:hAnsi="Arial"/>
          <w:color w:val="000000"/>
          <w:sz w:val="18"/>
          <w:szCs w:val="18"/>
        </w:rPr>
        <w:t xml:space="preserve">Distribution services are in the hands of 45 local distribution companies who hold exclusivity over their territorial concessions. Power prices to captive customers are determined by ANEEL and adjusted every year. Since July 2000, all customers connected at a minimum of 69-kilovolt tension level and with demand greater than 3MW can choose to buy power from an alternative supplier at a non-regulated price. </w:t>
      </w:r>
    </w:p>
    <w:p>
      <w:pPr>
        <w:pStyle w:val="NormalWeb"/>
        <w:rPr>
          <w:rFonts w:ascii="Arial" w:hAnsi="Arial" w:cs="Arial"/>
          <w:color w:val="000000"/>
          <w:sz w:val="18"/>
          <w:szCs w:val="18"/>
        </w:rPr>
      </w:pPr>
      <w:r>
        <w:rPr>
          <w:rFonts w:cs="Arial" w:ascii="Arial" w:hAnsi="Arial"/>
          <w:color w:val="000000"/>
          <w:sz w:val="18"/>
          <w:szCs w:val="18"/>
        </w:rPr>
        <w:t>Currently, most of the energy generated and consumed is still covered by Initial Contracts. All other contracts are freely negotiated between their counterparties.</w:t>
      </w:r>
    </w:p>
    <w:p>
      <w:pPr>
        <w:pStyle w:val="NormalWeb"/>
        <w:rPr>
          <w:rFonts w:ascii="Arial" w:hAnsi="Arial" w:cs="Arial"/>
          <w:color w:val="000000"/>
          <w:sz w:val="18"/>
          <w:szCs w:val="18"/>
        </w:rPr>
      </w:pPr>
      <w:r>
        <w:rPr>
          <w:rFonts w:cs="Arial" w:ascii="Arial" w:hAnsi="Arial"/>
          <w:color w:val="000000"/>
          <w:sz w:val="18"/>
          <w:szCs w:val="18"/>
        </w:rPr>
        <w:t>Among ASMAE's multiple functions, two of its major endeavors are to ensure the registration of all existing contracts and to calculate spot prices. In addition, ASMAE manages the settlement, accounting and clearing of the net position of each MAE member. These contracts are registered for control purposes only and MAE does not guarantee the performance of each counterparty.</w:t>
      </w:r>
    </w:p>
    <w:p>
      <w:pPr>
        <w:pStyle w:val="NormalWeb"/>
        <w:rPr>
          <w:rFonts w:ascii="Arial" w:hAnsi="Arial" w:cs="Arial"/>
          <w:color w:val="000000"/>
          <w:sz w:val="18"/>
          <w:szCs w:val="18"/>
        </w:rPr>
      </w:pPr>
      <w:r>
        <w:rPr>
          <w:rFonts w:cs="Arial" w:ascii="Arial" w:hAnsi="Arial"/>
          <w:color w:val="000000"/>
          <w:sz w:val="18"/>
          <w:szCs w:val="18"/>
        </w:rPr>
        <w:t>Spot prices are currently calculated ex-ante on a monthly basis. On the last working day before the delivery month, ASMAE releases the peak, shoulder and off-peak spot prices for each of the sub-markets. Expected demand, rainfall and marginal cost of production are some of the inputs used by a series of optimization models that calculate these spot prices.</w:t>
      </w:r>
    </w:p>
    <w:p>
      <w:pPr>
        <w:pStyle w:val="NormalWeb"/>
        <w:rPr>
          <w:rFonts w:ascii="Arial" w:hAnsi="Arial" w:cs="Arial"/>
          <w:color w:val="000000"/>
          <w:sz w:val="18"/>
          <w:szCs w:val="18"/>
        </w:rPr>
      </w:pPr>
      <w:r>
        <w:rPr>
          <w:rFonts w:cs="Arial" w:ascii="Arial" w:hAnsi="Arial"/>
          <w:color w:val="000000"/>
          <w:sz w:val="18"/>
          <w:szCs w:val="18"/>
        </w:rPr>
        <w:t> </w:t>
      </w:r>
      <w:r>
        <w:br w:type="page"/>
      </w:r>
    </w:p>
    <w:p>
      <w:pPr>
        <w:pStyle w:val="Heading2"/>
        <w:ind w:hanging="0" w:start="0"/>
        <w:rPr/>
      </w:pPr>
      <w:r>
        <w:rPr/>
        <w:t>Brazilian Power / Market Information / Future Development</w:t>
      </w:r>
    </w:p>
    <w:p>
      <w:pPr>
        <w:pStyle w:val="NormalWeb"/>
        <w:rPr>
          <w:rFonts w:ascii="Arial" w:hAnsi="Arial" w:cs="Arial"/>
          <w:color w:val="000000"/>
          <w:sz w:val="18"/>
          <w:szCs w:val="18"/>
        </w:rPr>
      </w:pPr>
      <w:r>
        <w:rPr>
          <w:rFonts w:cs="Arial" w:ascii="Arial" w:hAnsi="Arial"/>
          <w:color w:val="000000"/>
          <w:sz w:val="18"/>
          <w:szCs w:val="18"/>
        </w:rPr>
        <w:t>Resolution 290, which was enacted in August 2000, established a timeline for the full implementation of Definitive Market Rules over the next three years. By this resolution, Brazil should have the wholesale market operating on hourly, ex-post pricing by January 2002.</w:t>
      </w:r>
    </w:p>
    <w:p>
      <w:pPr>
        <w:pStyle w:val="NormalWeb"/>
        <w:rPr>
          <w:rFonts w:ascii="Arial" w:hAnsi="Arial" w:cs="Arial"/>
          <w:color w:val="000000"/>
          <w:sz w:val="18"/>
          <w:szCs w:val="18"/>
        </w:rPr>
      </w:pPr>
      <w:r>
        <w:rPr>
          <w:rFonts w:cs="Arial" w:ascii="Arial" w:hAnsi="Arial"/>
          <w:color w:val="000000"/>
          <w:sz w:val="18"/>
          <w:szCs w:val="18"/>
        </w:rPr>
        <w:t>Today, approximately 90% of contracted power is governed by Initial Contract Agreements. Their volumes will decrease from 2003 onwards by 25% per year and will expire by December 2006. Approximately four years from now it is expected that bilateral contracts will represent 85% to 90% of all energy transacted in the country, while spot markets will pickup the remaining volumes.</w:t>
      </w:r>
    </w:p>
    <w:p>
      <w:pPr>
        <w:pStyle w:val="Heading2"/>
        <w:ind w:hanging="0" w:start="0"/>
        <w:jc w:val="center"/>
        <w:rPr>
          <w:rFonts w:ascii="Arial" w:hAnsi="Arial" w:cs="Arial"/>
          <w:color w:val="000000"/>
          <w:sz w:val="18"/>
          <w:szCs w:val="18"/>
        </w:rPr>
      </w:pPr>
      <w:r>
        <w:rPr>
          <w:rFonts w:cs="Arial"/>
          <w:color w:val="000000"/>
          <w:sz w:val="18"/>
          <w:szCs w:val="18"/>
        </w:rPr>
      </w:r>
    </w:p>
    <w:p>
      <w:pPr>
        <w:pStyle w:val="Normal"/>
        <w:rPr/>
      </w:pPr>
      <w:r>
        <w:rPr/>
      </w:r>
    </w:p>
    <w:p>
      <w:pPr>
        <w:pStyle w:val="Heading2"/>
        <w:ind w:hanging="0" w:start="0"/>
        <w:rPr/>
      </w:pPr>
      <w:r>
        <w:rPr/>
        <w:t>Brazilian Power / Market Information / Regulatory Environment</w:t>
      </w:r>
    </w:p>
    <w:p>
      <w:pPr>
        <w:pStyle w:val="Normal"/>
        <w:rPr/>
      </w:pPr>
      <w:r>
        <w:rPr>
          <w:rFonts w:eastAsia="Arial Unicode MS" w:cs="Arial" w:ascii="Arial" w:hAnsi="Arial"/>
          <w:color w:val="000000"/>
          <w:sz w:val="18"/>
          <w:szCs w:val="18"/>
        </w:rPr>
        <w:t xml:space="preserve">The National Electricity Regulatory Agency </w:t>
      </w:r>
      <w:r>
        <w:rPr>
          <w:rFonts w:eastAsia="Arial Unicode MS" w:cs="Arial" w:ascii="Arial" w:hAnsi="Arial"/>
          <w:sz w:val="18"/>
        </w:rPr>
        <w:t>(Agencia Nacional de Energia Elétrica - ANEEL)</w:t>
      </w:r>
      <w:r>
        <w:rPr>
          <w:rFonts w:eastAsia="Arial Unicode MS" w:cs="Arial" w:ascii="Arial" w:hAnsi="Arial"/>
          <w:color w:val="000000"/>
          <w:sz w:val="18"/>
          <w:szCs w:val="18"/>
        </w:rPr>
        <w:t xml:space="preserve"> is an agency linked to </w:t>
      </w:r>
      <w:r>
        <w:rPr>
          <w:rFonts w:cs="Arial" w:ascii="Arial" w:hAnsi="Arial"/>
          <w:color w:val="000000"/>
          <w:sz w:val="18"/>
          <w:szCs w:val="18"/>
        </w:rPr>
        <w:t xml:space="preserve">the Ministry of Mines and Energy (MME), with administrative and financial autonomy. Its specific purpose is to regulate and inspect the production, transmission, distribution and trade of electricity, according to the laws, guidelines and policies of the Federal Government. </w:t>
      </w:r>
    </w:p>
    <w:p>
      <w:pPr>
        <w:pStyle w:val="NormalWeb"/>
        <w:rPr>
          <w:rFonts w:ascii="Arial" w:hAnsi="Arial" w:cs="Arial"/>
          <w:color w:val="000000"/>
          <w:sz w:val="18"/>
          <w:szCs w:val="18"/>
        </w:rPr>
      </w:pPr>
      <w:r>
        <w:rPr>
          <w:rFonts w:cs="Arial" w:ascii="Arial" w:hAnsi="Arial"/>
          <w:color w:val="000000"/>
          <w:sz w:val="18"/>
          <w:szCs w:val="18"/>
        </w:rPr>
        <w:t xml:space="preserve">ANEEL's main objectives are to: </w:t>
      </w:r>
    </w:p>
    <w:p>
      <w:pPr>
        <w:pStyle w:val="Normal"/>
        <w:numPr>
          <w:ilvl w:val="0"/>
          <w:numId w:val="2"/>
        </w:numPr>
        <w:spacing w:before="100" w:after="100"/>
        <w:rPr>
          <w:rFonts w:ascii="Arial" w:hAnsi="Arial" w:cs="Arial"/>
          <w:color w:val="000000"/>
          <w:sz w:val="18"/>
          <w:szCs w:val="18"/>
        </w:rPr>
      </w:pPr>
      <w:r>
        <w:rPr>
          <w:rFonts w:cs="Arial" w:ascii="Arial" w:hAnsi="Arial"/>
          <w:color w:val="000000"/>
          <w:sz w:val="18"/>
          <w:szCs w:val="18"/>
        </w:rPr>
        <w:t xml:space="preserve">establish regulated tariffs; </w:t>
      </w:r>
    </w:p>
    <w:p>
      <w:pPr>
        <w:pStyle w:val="Normal"/>
        <w:numPr>
          <w:ilvl w:val="0"/>
          <w:numId w:val="2"/>
        </w:numPr>
        <w:spacing w:before="100" w:after="100"/>
        <w:rPr>
          <w:rFonts w:ascii="Arial" w:hAnsi="Arial" w:cs="Arial"/>
          <w:color w:val="000000"/>
          <w:sz w:val="18"/>
          <w:szCs w:val="18"/>
        </w:rPr>
      </w:pPr>
      <w:r>
        <w:rPr>
          <w:rFonts w:cs="Arial" w:ascii="Arial" w:hAnsi="Arial"/>
          <w:color w:val="000000"/>
          <w:sz w:val="18"/>
          <w:szCs w:val="18"/>
        </w:rPr>
        <w:t xml:space="preserve">promote the quality of the service being provided; </w:t>
      </w:r>
    </w:p>
    <w:p>
      <w:pPr>
        <w:pStyle w:val="Normal"/>
        <w:numPr>
          <w:ilvl w:val="0"/>
          <w:numId w:val="2"/>
        </w:numPr>
        <w:spacing w:before="100" w:after="100"/>
        <w:rPr>
          <w:rFonts w:ascii="Arial" w:hAnsi="Arial" w:cs="Arial"/>
          <w:color w:val="000000"/>
          <w:sz w:val="18"/>
          <w:szCs w:val="18"/>
        </w:rPr>
      </w:pPr>
      <w:r>
        <w:rPr>
          <w:rFonts w:cs="Arial" w:ascii="Arial" w:hAnsi="Arial"/>
          <w:color w:val="000000"/>
          <w:sz w:val="18"/>
          <w:szCs w:val="18"/>
        </w:rPr>
        <w:t xml:space="preserve">organize the bidding process for the necessary infrastructure expansion; </w:t>
      </w:r>
    </w:p>
    <w:p>
      <w:pPr>
        <w:pStyle w:val="Normal"/>
        <w:numPr>
          <w:ilvl w:val="0"/>
          <w:numId w:val="2"/>
        </w:numPr>
        <w:spacing w:before="100" w:after="100"/>
        <w:rPr>
          <w:rFonts w:ascii="Arial" w:hAnsi="Arial" w:cs="Arial"/>
          <w:color w:val="000000"/>
          <w:sz w:val="18"/>
          <w:szCs w:val="18"/>
        </w:rPr>
      </w:pPr>
      <w:r>
        <w:rPr>
          <w:rFonts w:cs="Arial" w:ascii="Arial" w:hAnsi="Arial"/>
          <w:color w:val="000000"/>
          <w:sz w:val="18"/>
          <w:szCs w:val="18"/>
        </w:rPr>
        <w:t xml:space="preserve">arbitrate disputes; </w:t>
      </w:r>
    </w:p>
    <w:p>
      <w:pPr>
        <w:pStyle w:val="Normal"/>
        <w:numPr>
          <w:ilvl w:val="0"/>
          <w:numId w:val="2"/>
        </w:numPr>
        <w:spacing w:before="100" w:after="100"/>
        <w:rPr>
          <w:rFonts w:ascii="Arial" w:hAnsi="Arial" w:cs="Arial"/>
          <w:color w:val="000000"/>
          <w:sz w:val="18"/>
          <w:szCs w:val="18"/>
        </w:rPr>
      </w:pPr>
      <w:r>
        <w:rPr>
          <w:rFonts w:cs="Arial" w:ascii="Arial" w:hAnsi="Arial"/>
          <w:color w:val="000000"/>
          <w:sz w:val="18"/>
          <w:szCs w:val="18"/>
        </w:rPr>
        <w:t xml:space="preserve">carry out comprehensive inspection activities. </w:t>
      </w:r>
    </w:p>
    <w:p>
      <w:pPr>
        <w:pStyle w:val="copy"/>
        <w:spacing w:before="0" w:after="0"/>
        <w:rPr/>
      </w:pPr>
      <w:r>
        <w:rPr/>
        <w:t>ANEEL also plays the role of the Granting Authority responsible for granting concessions, authorizations or permissions for the development of new infrastructures.</w:t>
      </w:r>
    </w:p>
    <w:p>
      <w:pPr>
        <w:pStyle w:val="Normal"/>
        <w:rPr/>
      </w:pPr>
      <w:r>
        <w:rPr/>
      </w:r>
    </w:p>
    <w:p>
      <w:pPr>
        <w:pStyle w:val="Normal"/>
        <w:rPr/>
      </w:pPr>
      <w:r>
        <w:rPr/>
      </w:r>
    </w:p>
    <w:p>
      <w:pPr>
        <w:pStyle w:val="Heading2"/>
        <w:ind w:hanging="0" w:start="0"/>
        <w:rPr/>
      </w:pPr>
      <w:r>
        <w:rPr/>
        <w:t>Brazilian Power / Market Information / Market Conventions</w:t>
      </w:r>
    </w:p>
    <w:p>
      <w:pPr>
        <w:pStyle w:val="Normal"/>
        <w:rPr>
          <w:rFonts w:ascii="Arial" w:hAnsi="Arial" w:cs="Arial"/>
          <w:sz w:val="18"/>
          <w:szCs w:val="18"/>
        </w:rPr>
      </w:pPr>
      <w:r>
        <w:rPr>
          <w:rFonts w:cs="Arial" w:ascii="Arial" w:hAnsi="Arial"/>
          <w:sz w:val="18"/>
          <w:szCs w:val="18"/>
        </w:rPr>
        <w:t>Market prices are quoted in Brazilian Reais per megawatt-hour (MWh) and quantities are quoted in megawatts (MW). Spot prices are currently determined ex-ante, on a monthly basis.</w:t>
      </w:r>
    </w:p>
    <w:p>
      <w:pPr>
        <w:pStyle w:val="Normal"/>
        <w:rPr>
          <w:rFonts w:ascii="Arial" w:hAnsi="Arial" w:cs="Arial"/>
          <w:sz w:val="18"/>
          <w:szCs w:val="18"/>
        </w:rPr>
      </w:pPr>
      <w:r>
        <w:rPr>
          <w:rFonts w:cs="Arial" w:ascii="Arial" w:hAnsi="Arial"/>
          <w:sz w:val="18"/>
          <w:szCs w:val="18"/>
        </w:rPr>
      </w:r>
    </w:p>
    <w:tbl>
      <w:tblPr>
        <w:tblW w:w="8250" w:type="dxa"/>
        <w:jc w:val="start"/>
        <w:tblInd w:w="-15" w:type="dxa"/>
        <w:tblLayout w:type="fixed"/>
        <w:tblCellMar>
          <w:top w:w="45" w:type="dxa"/>
          <w:start w:w="45" w:type="dxa"/>
          <w:bottom w:w="45" w:type="dxa"/>
          <w:end w:w="45" w:type="dxa"/>
        </w:tblCellMar>
      </w:tblPr>
      <w:tblGrid>
        <w:gridCol w:w="2250"/>
        <w:gridCol w:w="3000"/>
        <w:gridCol w:w="3000"/>
      </w:tblGrid>
      <w:tr>
        <w:trPr>
          <w:trHeight w:val="75" w:hRule="atLeast"/>
        </w:trPr>
        <w:tc>
          <w:tcPr>
            <w:tcW w:w="2250" w:type="dxa"/>
            <w:tcBorders/>
            <w:vAlign w:val="center"/>
          </w:tcPr>
          <w:p>
            <w:pPr>
              <w:pStyle w:val="Normal"/>
              <w:spacing w:lineRule="atLeast" w:line="75"/>
              <w:rPr>
                <w:rFonts w:ascii="Arial" w:hAnsi="Arial" w:eastAsia="Arial Unicode MS" w:cs="Arial"/>
                <w:b/>
                <w:bCs/>
                <w:color w:val="000000"/>
                <w:sz w:val="18"/>
                <w:szCs w:val="18"/>
              </w:rPr>
            </w:pPr>
            <w:r>
              <w:rPr>
                <w:rFonts w:cs="Arial" w:ascii="Arial" w:hAnsi="Arial"/>
                <w:b/>
                <w:bCs/>
                <w:color w:val="000000"/>
                <w:sz w:val="18"/>
                <w:szCs w:val="18"/>
              </w:rPr>
              <w:t>Load Levels</w:t>
            </w:r>
          </w:p>
        </w:tc>
        <w:tc>
          <w:tcPr>
            <w:tcW w:w="3000" w:type="dxa"/>
            <w:tcBorders/>
            <w:vAlign w:val="center"/>
          </w:tcPr>
          <w:p>
            <w:pPr>
              <w:pStyle w:val="Normal"/>
              <w:spacing w:lineRule="atLeast" w:line="75"/>
              <w:jc w:val="center"/>
              <w:rPr>
                <w:rFonts w:ascii="Arial" w:hAnsi="Arial" w:eastAsia="Arial Unicode MS" w:cs="Arial"/>
                <w:b/>
                <w:bCs/>
                <w:color w:val="000000"/>
                <w:sz w:val="18"/>
                <w:szCs w:val="18"/>
              </w:rPr>
            </w:pPr>
            <w:r>
              <w:rPr>
                <w:rFonts w:cs="Arial" w:ascii="Arial" w:hAnsi="Arial"/>
                <w:b/>
                <w:bCs/>
                <w:color w:val="000000"/>
                <w:sz w:val="18"/>
                <w:szCs w:val="18"/>
              </w:rPr>
              <w:t>Monday through Saturday</w:t>
            </w:r>
          </w:p>
        </w:tc>
        <w:tc>
          <w:tcPr>
            <w:tcW w:w="3000" w:type="dxa"/>
            <w:tcBorders/>
            <w:vAlign w:val="center"/>
          </w:tcPr>
          <w:p>
            <w:pPr>
              <w:pStyle w:val="Normal"/>
              <w:spacing w:lineRule="atLeast" w:line="75"/>
              <w:jc w:val="center"/>
              <w:rPr>
                <w:rFonts w:ascii="Arial" w:hAnsi="Arial" w:eastAsia="Arial Unicode MS" w:cs="Arial"/>
                <w:b/>
                <w:bCs/>
                <w:color w:val="000000"/>
                <w:sz w:val="18"/>
                <w:szCs w:val="18"/>
              </w:rPr>
            </w:pPr>
            <w:r>
              <w:rPr>
                <w:rFonts w:cs="Arial" w:ascii="Arial" w:hAnsi="Arial"/>
                <w:b/>
                <w:bCs/>
                <w:color w:val="000000"/>
                <w:sz w:val="18"/>
                <w:szCs w:val="18"/>
              </w:rPr>
              <w:t>Sunday and Holidays</w:t>
            </w:r>
          </w:p>
        </w:tc>
      </w:tr>
      <w:tr>
        <w:trPr>
          <w:trHeight w:val="600" w:hRule="atLeast"/>
        </w:trPr>
        <w:tc>
          <w:tcPr>
            <w:tcW w:w="2250" w:type="dxa"/>
            <w:tcBorders/>
            <w:shd w:fill="DCE6F3" w:val="clear"/>
            <w:vAlign w:val="center"/>
          </w:tcPr>
          <w:p>
            <w:pPr>
              <w:pStyle w:val="Normal"/>
              <w:rPr>
                <w:rFonts w:ascii="Arial" w:hAnsi="Arial" w:eastAsia="Arial Unicode MS" w:cs="Arial"/>
                <w:b/>
                <w:bCs/>
                <w:color w:val="000000"/>
                <w:sz w:val="18"/>
                <w:szCs w:val="18"/>
              </w:rPr>
            </w:pPr>
            <w:r>
              <w:rPr>
                <w:rFonts w:cs="Arial" w:ascii="Arial" w:hAnsi="Arial"/>
                <w:b/>
                <w:bCs/>
                <w:color w:val="000000"/>
                <w:sz w:val="18"/>
                <w:szCs w:val="18"/>
              </w:rPr>
              <w:t>Peak Hours</w:t>
            </w:r>
          </w:p>
        </w:tc>
        <w:tc>
          <w:tcPr>
            <w:tcW w:w="3000" w:type="dxa"/>
            <w:tcBorders/>
            <w:shd w:fill="DCE6F3" w:val="clear"/>
            <w:vAlign w:val="center"/>
          </w:tcPr>
          <w:p>
            <w:pPr>
              <w:pStyle w:val="Normal"/>
              <w:jc w:val="center"/>
              <w:rPr>
                <w:rFonts w:ascii="Arial" w:hAnsi="Arial" w:eastAsia="Arial Unicode MS" w:cs="Arial"/>
                <w:sz w:val="18"/>
                <w:szCs w:val="18"/>
              </w:rPr>
            </w:pPr>
            <w:r>
              <w:rPr>
                <w:rFonts w:cs="Arial" w:ascii="Arial" w:hAnsi="Arial"/>
                <w:sz w:val="18"/>
                <w:szCs w:val="18"/>
              </w:rPr>
              <w:t>18:00 to 21:00</w:t>
            </w:r>
          </w:p>
        </w:tc>
        <w:tc>
          <w:tcPr>
            <w:tcW w:w="3000" w:type="dxa"/>
            <w:tcBorders/>
            <w:shd w:fill="DCE6F3" w:val="clear"/>
            <w:vAlign w:val="center"/>
          </w:tcPr>
          <w:p>
            <w:pPr>
              <w:pStyle w:val="Normal"/>
              <w:jc w:val="center"/>
              <w:rPr>
                <w:rFonts w:ascii="Arial" w:hAnsi="Arial" w:eastAsia="Arial Unicode MS" w:cs="Arial"/>
                <w:sz w:val="18"/>
                <w:szCs w:val="18"/>
              </w:rPr>
            </w:pPr>
            <w:r>
              <w:rPr>
                <w:rFonts w:cs="Arial" w:ascii="Arial" w:hAnsi="Arial"/>
                <w:sz w:val="18"/>
                <w:szCs w:val="18"/>
              </w:rPr>
              <w:t> </w:t>
            </w:r>
          </w:p>
        </w:tc>
      </w:tr>
      <w:tr>
        <w:trPr>
          <w:trHeight w:val="600" w:hRule="atLeast"/>
        </w:trPr>
        <w:tc>
          <w:tcPr>
            <w:tcW w:w="2250" w:type="dxa"/>
            <w:tcBorders/>
            <w:vAlign w:val="center"/>
          </w:tcPr>
          <w:p>
            <w:pPr>
              <w:pStyle w:val="Normal"/>
              <w:rPr>
                <w:rFonts w:ascii="Arial" w:hAnsi="Arial" w:eastAsia="Arial Unicode MS" w:cs="Arial"/>
                <w:b/>
                <w:bCs/>
                <w:color w:val="000000"/>
                <w:sz w:val="18"/>
                <w:szCs w:val="18"/>
              </w:rPr>
            </w:pPr>
            <w:r>
              <w:rPr>
                <w:rFonts w:cs="Arial" w:ascii="Arial" w:hAnsi="Arial"/>
                <w:b/>
                <w:bCs/>
                <w:color w:val="000000"/>
                <w:sz w:val="18"/>
                <w:szCs w:val="18"/>
              </w:rPr>
              <w:t>Shoulder Hours</w:t>
            </w:r>
          </w:p>
        </w:tc>
        <w:tc>
          <w:tcPr>
            <w:tcW w:w="3000" w:type="dxa"/>
            <w:tcBorders/>
            <w:vAlign w:val="center"/>
          </w:tcPr>
          <w:p>
            <w:pPr>
              <w:pStyle w:val="Normal"/>
              <w:jc w:val="center"/>
              <w:rPr>
                <w:rFonts w:ascii="Arial" w:hAnsi="Arial" w:eastAsia="Arial Unicode MS" w:cs="Arial"/>
                <w:sz w:val="18"/>
                <w:szCs w:val="18"/>
              </w:rPr>
            </w:pPr>
            <w:r>
              <w:rPr>
                <w:rFonts w:cs="Arial" w:ascii="Arial" w:hAnsi="Arial"/>
                <w:sz w:val="18"/>
                <w:szCs w:val="18"/>
              </w:rPr>
              <w:t>07:00 to 18:00</w:t>
              <w:br/>
              <w:t>and</w:t>
              <w:br/>
              <w:t>21:00 to 00:00</w:t>
            </w:r>
          </w:p>
        </w:tc>
        <w:tc>
          <w:tcPr>
            <w:tcW w:w="3000" w:type="dxa"/>
            <w:tcBorders/>
            <w:vAlign w:val="center"/>
          </w:tcPr>
          <w:p>
            <w:pPr>
              <w:pStyle w:val="Normal"/>
              <w:jc w:val="center"/>
              <w:rPr>
                <w:rFonts w:ascii="Arial" w:hAnsi="Arial" w:eastAsia="Arial Unicode MS" w:cs="Arial"/>
                <w:sz w:val="18"/>
                <w:szCs w:val="18"/>
              </w:rPr>
            </w:pPr>
            <w:r>
              <w:rPr>
                <w:rFonts w:cs="Arial" w:ascii="Arial" w:hAnsi="Arial"/>
                <w:sz w:val="18"/>
                <w:szCs w:val="18"/>
              </w:rPr>
              <w:t>17:00 to 22:00</w:t>
            </w:r>
          </w:p>
        </w:tc>
      </w:tr>
      <w:tr>
        <w:trPr>
          <w:trHeight w:val="600" w:hRule="atLeast"/>
        </w:trPr>
        <w:tc>
          <w:tcPr>
            <w:tcW w:w="2250" w:type="dxa"/>
            <w:tcBorders/>
            <w:shd w:fill="DCE6F3" w:val="clear"/>
            <w:vAlign w:val="center"/>
          </w:tcPr>
          <w:p>
            <w:pPr>
              <w:pStyle w:val="Normal"/>
              <w:rPr>
                <w:rFonts w:ascii="Arial" w:hAnsi="Arial" w:eastAsia="Arial Unicode MS" w:cs="Arial"/>
                <w:b/>
                <w:bCs/>
                <w:color w:val="000000"/>
                <w:sz w:val="18"/>
                <w:szCs w:val="18"/>
              </w:rPr>
            </w:pPr>
            <w:r>
              <w:rPr>
                <w:rFonts w:cs="Arial" w:ascii="Arial" w:hAnsi="Arial"/>
                <w:b/>
                <w:bCs/>
                <w:color w:val="000000"/>
                <w:sz w:val="18"/>
                <w:szCs w:val="18"/>
              </w:rPr>
              <w:t>Off-Peak Hours</w:t>
            </w:r>
          </w:p>
        </w:tc>
        <w:tc>
          <w:tcPr>
            <w:tcW w:w="3000" w:type="dxa"/>
            <w:tcBorders/>
            <w:shd w:fill="DCE6F3" w:val="clear"/>
            <w:vAlign w:val="center"/>
          </w:tcPr>
          <w:p>
            <w:pPr>
              <w:pStyle w:val="Normal"/>
              <w:jc w:val="center"/>
              <w:rPr>
                <w:rFonts w:ascii="Arial" w:hAnsi="Arial" w:eastAsia="Arial Unicode MS" w:cs="Arial"/>
                <w:sz w:val="18"/>
                <w:szCs w:val="18"/>
              </w:rPr>
            </w:pPr>
            <w:r>
              <w:rPr>
                <w:rFonts w:cs="Arial" w:ascii="Arial" w:hAnsi="Arial"/>
                <w:sz w:val="18"/>
                <w:szCs w:val="18"/>
              </w:rPr>
              <w:t>00:00 to 07:00</w:t>
            </w:r>
          </w:p>
        </w:tc>
        <w:tc>
          <w:tcPr>
            <w:tcW w:w="3000" w:type="dxa"/>
            <w:tcBorders/>
            <w:shd w:fill="DCE6F3" w:val="clear"/>
            <w:vAlign w:val="center"/>
          </w:tcPr>
          <w:p>
            <w:pPr>
              <w:pStyle w:val="Normal"/>
              <w:jc w:val="center"/>
              <w:rPr>
                <w:rFonts w:ascii="Arial" w:hAnsi="Arial" w:eastAsia="Arial Unicode MS" w:cs="Arial"/>
                <w:sz w:val="18"/>
                <w:szCs w:val="18"/>
              </w:rPr>
            </w:pPr>
            <w:r>
              <w:rPr>
                <w:rFonts w:cs="Arial" w:ascii="Arial" w:hAnsi="Arial"/>
                <w:sz w:val="18"/>
                <w:szCs w:val="18"/>
              </w:rPr>
              <w:t>00:00 to 17:00</w:t>
              <w:br/>
              <w:t>and</w:t>
              <w:br/>
              <w:t>22:00 to 00:00</w:t>
            </w:r>
          </w:p>
        </w:tc>
      </w:tr>
    </w:tbl>
    <w:p>
      <w:pPr>
        <w:pStyle w:val="Normal"/>
        <w:tabs>
          <w:tab w:val="clear" w:pos="720"/>
          <w:tab w:val="left" w:pos="3810" w:leader="none"/>
        </w:tabs>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sz w:val="20"/>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rFonts w:ascii="Arial" w:hAnsi="Arial" w:cs="Arial"/>
      <w:b/>
      <w:bCs/>
      <w:sz w:val="18"/>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DefaultParagraphFont">
    <w:name w:val="Default Paragraph Font"/>
    <w:qFormat/>
    <w:rPr/>
  </w:style>
  <w:style w:type="character" w:styleId="italicbold">
    <w:name w:val="italicbold"/>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color w:val="000000"/>
      <w:sz w:val="18"/>
      <w:szCs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italiccopy">
    <w:name w:val="italiccopy"/>
    <w:basedOn w:val="Normal"/>
    <w:qFormat/>
    <w:pPr>
      <w:spacing w:before="100" w:after="100"/>
    </w:pPr>
    <w:rPr>
      <w:rFonts w:ascii="Arial" w:hAnsi="Arial" w:eastAsia="Arial Unicode MS" w:cs="Arial"/>
      <w:i/>
      <w:iCs/>
      <w:color w:val="000000"/>
      <w:sz w:val="18"/>
      <w:szCs w:val="18"/>
    </w:rPr>
  </w:style>
  <w:style w:type="paragraph" w:styleId="copy">
    <w:name w:val="copy"/>
    <w:basedOn w:val="Normal"/>
    <w:qFormat/>
    <w:pPr>
      <w:spacing w:before="100" w:after="100"/>
    </w:pPr>
    <w:rPr>
      <w:rFonts w:ascii="Arial" w:hAnsi="Arial" w:eastAsia="Arial Unicode MS" w:cs="Arial"/>
      <w:color w:val="000000"/>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2001-04-16T17:07:00Z</dcterms:created>
  <dc:creator>Erica Bess</dc:creator>
  <dc:description/>
  <dc:language>en-CA</dc:language>
  <cp:lastModifiedBy>Erica Bess</cp:lastModifiedBy>
  <dcterms:modified xsi:type="dcterms:W3CDTF">2001-04-16T17:22:00Z</dcterms:modified>
  <cp:revision>2</cp:revision>
  <dc:subject/>
  <dc:title>Brazilian Power / Home Page</dc:title>
</cp:coreProperties>
</file>