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Robin L. Treadwell</w:t>
        <w:tab/>
        <w:tab/>
        <w:tab/>
        <w:tab/>
        <w:tab/>
        <w:tab/>
        <w:tab/>
        <w:t>August 16, 2001</w:t>
      </w:r>
    </w:p>
    <w:p>
      <w:pPr>
        <w:pStyle w:val="Normal"/>
        <w:rPr/>
      </w:pPr>
      <w:r>
        <w:rPr/>
        <w:t>Copy:  Michelle Cash</w:t>
      </w:r>
    </w:p>
    <w:p>
      <w:pPr>
        <w:pStyle w:val="Normal"/>
        <w:rPr/>
      </w:pPr>
      <w:r>
        <w:rPr/>
      </w:r>
    </w:p>
    <w:p>
      <w:pPr>
        <w:pStyle w:val="Normal"/>
        <w:rPr/>
      </w:pPr>
      <w:r>
        <w:rPr/>
        <w:t>From:  Patrick Mackin</w:t>
      </w:r>
    </w:p>
    <w:p>
      <w:pPr>
        <w:pStyle w:val="Normal"/>
        <w:rPr/>
      </w:pPr>
      <w:r>
        <w:rPr/>
      </w:r>
    </w:p>
    <w:p>
      <w:pPr>
        <w:pStyle w:val="Normal"/>
        <w:rPr/>
      </w:pPr>
      <w:r>
        <w:rPr/>
        <w:t>Subject:  Retention Stock Option Plan in Brazil</w:t>
      </w:r>
    </w:p>
    <w:p>
      <w:pPr>
        <w:pStyle w:val="Normal"/>
        <w:rPr/>
      </w:pPr>
      <w:r>
        <w:rPr/>
      </w:r>
    </w:p>
    <w:p>
      <w:pPr>
        <w:pStyle w:val="Normal"/>
        <w:rPr/>
      </w:pPr>
      <w:r>
        <w:rPr/>
      </w:r>
    </w:p>
    <w:p>
      <w:pPr>
        <w:pStyle w:val="Normal"/>
        <w:rPr/>
      </w:pPr>
      <w:r>
        <w:rPr/>
        <w:t>Dear Robin,</w:t>
      </w:r>
    </w:p>
    <w:p>
      <w:pPr>
        <w:pStyle w:val="Normal"/>
        <w:rPr/>
      </w:pPr>
      <w:r>
        <w:rPr/>
      </w:r>
    </w:p>
    <w:p>
      <w:pPr>
        <w:pStyle w:val="Normal"/>
        <w:rPr/>
      </w:pPr>
      <w:r>
        <w:rPr/>
        <w:t>I am going to assume that since you were copied on Michelle's message to me, that you are the person to whom I am to respond.</w:t>
      </w:r>
    </w:p>
    <w:p>
      <w:pPr>
        <w:pStyle w:val="Normal"/>
        <w:rPr/>
      </w:pPr>
      <w:r>
        <w:rPr/>
      </w:r>
    </w:p>
    <w:p>
      <w:pPr>
        <w:pStyle w:val="Normal"/>
        <w:rPr/>
      </w:pPr>
      <w:r>
        <w:rPr/>
        <w:t xml:space="preserve">The attachment to Michelle's message was garbled, and did not contain the new draft of letter, which she indicates looks better.  I have not seen the new letter.  If you can send it to me at </w:t>
      </w:r>
      <w:hyperlink r:id="rId2">
        <w:r>
          <w:rPr>
            <w:rStyle w:val="Hyperlink"/>
          </w:rPr>
          <w:t>fmackin@aol.com</w:t>
        </w:r>
      </w:hyperlink>
      <w:r>
        <w:rPr/>
        <w:t>, I will review it.</w:t>
      </w:r>
    </w:p>
    <w:p>
      <w:pPr>
        <w:pStyle w:val="Normal"/>
        <w:rPr/>
      </w:pPr>
      <w:r>
        <w:rPr/>
      </w:r>
    </w:p>
    <w:p>
      <w:pPr>
        <w:pStyle w:val="Normal"/>
        <w:rPr/>
      </w:pPr>
      <w:r>
        <w:rPr/>
        <w:t>I did review the message from Luiz Guilherme Migliora to Michelle sent Friday 8/3/01.</w:t>
      </w:r>
    </w:p>
    <w:p>
      <w:pPr>
        <w:pStyle w:val="Normal"/>
        <w:rPr/>
      </w:pPr>
      <w:r>
        <w:rPr/>
      </w:r>
    </w:p>
    <w:p>
      <w:pPr>
        <w:pStyle w:val="Normal"/>
        <w:rPr/>
      </w:pPr>
      <w:r>
        <w:rPr/>
        <w:t>In the discussion of my previous comments, there is a reference to the possibility that not taking the stock options in to account for employment and social security may be deemed to be a violation of employment and social security laws.  I seem to recall that Enron has a policy of complying with laws in the jurisdictions in which it and its affiliated companies and subsidiaries conduct business.  It seems to me that you should check with Jim Derrick, General Counsel of Enron Corp., to receive guidance whether the laws of Brazil should be followed in this matter.  Just because other companies may decide not to comply with applicable law is not sufficient for Enron to follow the herd in this regard.</w:t>
      </w:r>
    </w:p>
    <w:p>
      <w:pPr>
        <w:pStyle w:val="Normal"/>
        <w:rPr/>
      </w:pPr>
      <w:r>
        <w:rPr/>
      </w:r>
    </w:p>
    <w:p>
      <w:pPr>
        <w:pStyle w:val="Normal"/>
        <w:rPr/>
      </w:pPr>
      <w:r>
        <w:rPr/>
        <w:t>It sounds like alternative A in my memo dated July 30, 2001 to Michelle is the preferred design for the stock awards.</w:t>
      </w:r>
    </w:p>
    <w:p>
      <w:pPr>
        <w:pStyle w:val="Normal"/>
        <w:rPr/>
      </w:pPr>
      <w:r>
        <w:rPr/>
      </w:r>
    </w:p>
    <w:p>
      <w:pPr>
        <w:pStyle w:val="Normal"/>
        <w:rPr/>
      </w:pPr>
      <w:r>
        <w:rPr/>
        <w:t>While the managers in Brazil don’t have a problem whether the Company or the Administrative Committee of the Enron Corp. 1994 Stock Plan grants the options, Enron Corp. has a big problem with it, if an entity other than the Committee of the Stock Plan grants the awards.  The Stock Plan document is very clear about this.  Under U.S. corporate law, an attempted grant of options other than pursuant to the clear provisions of the Stock Plan would be ineffective and not recognized by Enron Corp.</w:t>
      </w:r>
    </w:p>
    <w:p>
      <w:pPr>
        <w:pStyle w:val="Normal"/>
        <w:rPr/>
      </w:pPr>
      <w:r>
        <w:rPr/>
      </w:r>
    </w:p>
    <w:p>
      <w:pPr>
        <w:pStyle w:val="Normal"/>
        <w:rPr/>
      </w:pPr>
      <w:r>
        <w:rPr/>
        <w:t xml:space="preserve">With respect to sections 6, 7 and 8, I’ll leave it to the Brazilian attorneys to determine whether it is desirable to include this in an award agreement.  In the U.S., if a written agreement contains ambiguities, the meaning of which can be disputed by reasonable people, our courts generally construe an ambiguity against the person that drafted the written document.  </w:t>
      </w:r>
    </w:p>
    <w:p>
      <w:pPr>
        <w:pStyle w:val="Normal"/>
        <w:rPr/>
      </w:pPr>
      <w:r>
        <w:rPr/>
      </w:r>
    </w:p>
    <w:p>
      <w:pPr>
        <w:pStyle w:val="Normal"/>
        <w:rPr/>
      </w:pPr>
      <w:r>
        <w:rPr/>
        <w:t>I hope these comments are helpful.  Please let me know if you want me to review the revised letter, and send it to me.</w:t>
      </w:r>
    </w:p>
    <w:p>
      <w:pPr>
        <w:pStyle w:val="Normal"/>
        <w:rPr/>
      </w:pPr>
      <w:r>
        <w:rPr/>
      </w:r>
    </w:p>
    <w:p>
      <w:pPr>
        <w:pStyle w:val="Normal"/>
        <w:rPr/>
      </w:pPr>
      <w:r>
        <w:rPr/>
        <w:t>Regards,</w:t>
      </w:r>
    </w:p>
    <w:p>
      <w:pPr>
        <w:pStyle w:val="Normal"/>
        <w:rPr/>
      </w:pPr>
      <w:r>
        <w:rPr/>
      </w:r>
    </w:p>
    <w:p>
      <w:pPr>
        <w:pStyle w:val="Normal"/>
        <w:rPr/>
      </w:pPr>
      <w:r>
        <w:rPr/>
      </w:r>
    </w:p>
    <w:p>
      <w:pPr>
        <w:pStyle w:val="Normal"/>
        <w:rPr/>
      </w:pPr>
      <w:r>
        <w:rPr/>
        <w:t>Patrick Mackin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Reply Separator   ------------------------------------------</w:t>
      </w:r>
    </w:p>
    <w:p>
      <w:pPr>
        <w:pStyle w:val="Normal"/>
        <w:rPr/>
      </w:pPr>
      <w:r>
        <w:rPr/>
      </w:r>
    </w:p>
    <w:tbl>
      <w:tblPr>
        <w:tblW w:w="5000" w:type="pct"/>
        <w:jc w:val="start"/>
        <w:tblInd w:w="-15" w:type="dxa"/>
        <w:tblLayout w:type="fixed"/>
        <w:tblCellMar>
          <w:top w:w="15" w:type="dxa"/>
          <w:start w:w="15" w:type="dxa"/>
          <w:bottom w:w="15" w:type="dxa"/>
          <w:end w:w="15" w:type="dxa"/>
        </w:tblCellMar>
      </w:tblPr>
      <w:tblGrid>
        <w:gridCol w:w="936"/>
        <w:gridCol w:w="8424"/>
      </w:tblGrid>
      <w:tr>
        <w:trPr/>
        <w:tc>
          <w:tcPr>
            <w:tcW w:w="936" w:type="dxa"/>
            <w:tcBorders>
              <w:top w:val="thickThinLargeGap" w:sz="6" w:space="0" w:color="808080"/>
              <w:start w:val="thickThinLargeGap" w:sz="6" w:space="0" w:color="808080"/>
              <w:bottom w:val="thickThinLargeGap" w:sz="6" w:space="0" w:color="808080"/>
              <w:end w:val="thickThinLargeGap" w:sz="6" w:space="0" w:color="808080"/>
            </w:tcBorders>
            <w:shd w:fill="FFFFFF" w:val="clear"/>
          </w:tcPr>
          <w:p>
            <w:pPr>
              <w:pStyle w:val="Normal"/>
              <w:rPr/>
            </w:pPr>
            <w:r>
              <w:rPr/>
              <w:t xml:space="preserve">Subj: </w:t>
            </w:r>
          </w:p>
        </w:tc>
        <w:tc>
          <w:tcPr>
            <w:tcW w:w="842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b/>
                <w:bCs/>
              </w:rPr>
            </w:pPr>
            <w:r>
              <w:rPr>
                <w:b/>
                <w:bCs/>
              </w:rPr>
              <w:t>FW: Retention Stock Option Plan</w:t>
            </w:r>
          </w:p>
        </w:tc>
      </w:tr>
      <w:tr>
        <w:trPr/>
        <w:tc>
          <w:tcPr>
            <w:tcW w:w="936" w:type="dxa"/>
            <w:tcBorders>
              <w:top w:val="thickThinLargeGap" w:sz="6" w:space="0" w:color="808080"/>
              <w:start w:val="thickThinLargeGap" w:sz="6" w:space="0" w:color="808080"/>
              <w:bottom w:val="thickThinLargeGap" w:sz="6" w:space="0" w:color="808080"/>
              <w:end w:val="thickThinLargeGap" w:sz="6" w:space="0" w:color="808080"/>
            </w:tcBorders>
            <w:shd w:fill="FFFFFF" w:val="clear"/>
          </w:tcPr>
          <w:p>
            <w:pPr>
              <w:pStyle w:val="Normal"/>
              <w:rPr/>
            </w:pPr>
            <w:r>
              <w:rPr/>
              <w:t xml:space="preserve">Date: </w:t>
            </w:r>
          </w:p>
        </w:tc>
        <w:tc>
          <w:tcPr>
            <w:tcW w:w="842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pPr>
            <w:r>
              <w:rPr/>
              <w:t>8/15/01 4:34:36 AM Pacific Daylight Time</w:t>
            </w:r>
          </w:p>
        </w:tc>
      </w:tr>
      <w:tr>
        <w:trPr/>
        <w:tc>
          <w:tcPr>
            <w:tcW w:w="9360" w:type="dxa"/>
            <w:gridSpan w:val="2"/>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i/>
                <w:i/>
                <w:iCs/>
              </w:rPr>
            </w:pPr>
            <w:r>
              <w:rPr>
                <w:i/>
                <w:iCs/>
              </w:rPr>
              <w:t>From:    Michelle.Cash@ENRON.com (Cash, Michelle)</w:t>
              <w:br/>
              <w:t>To:    fmackin@aol.com</w:t>
              <w:br/>
              <w:t>CC:    Robin.L.Treadwell@ENRON.com (Treadwell, Robin L.)</w:t>
            </w:r>
          </w:p>
        </w:tc>
      </w:tr>
      <w:tr>
        <w:trPr/>
        <w:tc>
          <w:tcPr>
            <w:tcW w:w="936" w:type="dxa"/>
            <w:tcBorders>
              <w:top w:val="thickThinLargeGap" w:sz="6" w:space="0" w:color="808080"/>
              <w:start w:val="thickThinLargeGap" w:sz="6" w:space="0" w:color="808080"/>
              <w:bottom w:val="thickThinLargeGap" w:sz="6" w:space="0" w:color="808080"/>
              <w:end w:val="thickThinLargeGap" w:sz="6" w:space="0" w:color="808080"/>
            </w:tcBorders>
            <w:shd w:fill="FFFFFF" w:val="clear"/>
          </w:tcPr>
          <w:p>
            <w:pPr>
              <w:pStyle w:val="Normal"/>
              <w:rPr/>
            </w:pPr>
            <w:r>
              <w:rPr/>
              <w:t>File:</w:t>
            </w:r>
          </w:p>
        </w:tc>
        <w:tc>
          <w:tcPr>
            <w:tcW w:w="8424" w:type="dxa"/>
            <w:tcBorders>
              <w:top w:val="thickThinLargeGap" w:sz="6" w:space="0" w:color="808080"/>
              <w:start w:val="thickThinLargeGap" w:sz="6" w:space="0" w:color="808080"/>
              <w:bottom w:val="thickThinLargeGap" w:sz="6" w:space="0" w:color="808080"/>
              <w:end w:val="thickThinLargeGap" w:sz="6" w:space="0" w:color="808080"/>
            </w:tcBorders>
            <w:shd w:fill="FFFFFF" w:val="clear"/>
          </w:tcPr>
          <w:p>
            <w:pPr>
              <w:pStyle w:val="Normal"/>
              <w:rPr/>
            </w:pPr>
            <w:r>
              <w:rPr>
                <w:b/>
                <w:bCs/>
              </w:rPr>
              <w:t>~~DLNK0.zip</w:t>
            </w:r>
            <w:r>
              <w:rPr/>
              <w:t xml:space="preserve"> (1881 bytes) DL Time (32000 bps): &lt; 1 minute</w:t>
            </w:r>
          </w:p>
        </w:tc>
      </w:tr>
    </w:tbl>
    <w:p>
      <w:pPr>
        <w:pStyle w:val="NormalWeb"/>
        <w:spacing w:before="100" w:after="240"/>
        <w:rPr/>
      </w:pPr>
      <w:r>
        <w:rPr>
          <w:rFonts w:cs="Arial" w:ascii="Arial" w:hAnsi="Arial"/>
          <w:color w:val="000000"/>
        </w:rPr>
        <w:br/>
      </w:r>
      <w:r>
        <w:rPr/>
        <w:t xml:space="preserve">Pat, </w:t>
        <w:br/>
        <w:br/>
        <w:t xml:space="preserve">I would appreciate your comments on this.  It looks like the new draft works better.  </w:t>
        <w:br/>
        <w:br/>
        <w:t>Would you mind responding directly to everyone else, as I am going to be out of the office on vacation from today through Monday?  I'd appreciate your pinch hitting for me on this one.</w:t>
        <w:br/>
        <w:br/>
        <w:t>Thanks, Pat.</w:t>
        <w:br/>
        <w:br/>
        <w:t>Michelle</w:t>
        <w:br/>
        <w:br/>
        <w:t>----------------------------------------------------------</w:t>
      </w:r>
    </w:p>
    <w:p>
      <w:pPr>
        <w:pStyle w:val="NormalWeb"/>
        <w:spacing w:before="100" w:after="240"/>
        <w:rPr/>
      </w:pPr>
      <w:r>
        <w:rPr/>
        <w:t xml:space="preserve"> </w:t>
      </w:r>
      <w:r>
        <w:rPr/>
        <w:br/>
        <w:t xml:space="preserve">    ----- Original Message -----  </w:t>
        <w:br/>
        <w:t>    From: Luiz  Guilherme Migliora</w:t>
        <w:br/>
        <w:t xml:space="preserve">&lt;&lt;mailto:migliora@veirano.com.br&gt;&gt; </w:t>
        <w:br/>
        <w:t xml:space="preserve">    To: Michelle.Cash@ENRON.com &lt;&lt;mailto:Michelle.Cash@ENRON.com&gt;&gt; </w:t>
        <w:br/>
        <w:t>    Cc: Luiz Guilherme Migliora &lt;&lt;mailto:migliora@veirano.com.br&gt;&gt; ;</w:t>
        <w:br/>
        <w:t xml:space="preserve">Eduardo Ribeiro  Toledo &lt;&lt;mailto:toledo@veirano.com.br&gt;&gt; </w:t>
        <w:br/>
        <w:br/>
        <w:t xml:space="preserve">    Sent: Friday, August 03, 2001 11:48 AM </w:t>
        <w:br/>
        <w:t xml:space="preserve">    Subject: Retention Stock Option Plan </w:t>
        <w:br/>
        <w:t xml:space="preserve">    Dear Michelle: </w:t>
        <w:br/>
        <w:t xml:space="preserve">      </w:t>
        <w:br/>
        <w:t>    This follows your July 30, 2001 e-mail with the  comments made by Patrick Mackin to the draft form letter containing the terms  and and conditions of the stock option plan to be offered to certain employees of Enron America do Sul Ltda. with the purpose of retaining these employees  for a certain period of time.  Below we discuss Patrick Mackin's  comments in the same order they were made.</w:t>
        <w:br/>
        <w:br/>
        <w:t xml:space="preserve">    </w:t>
        <w:br/>
        <w:t>    In the first paragraph of his letter, Patrick  indicates that he assumes that the law of Brazil regarding the award will have  been complied with before any award is approved.  This is correct, except for the fact that the amounts that may be paid to employees as a result</w:t>
        <w:br/>
        <w:t>of the  stock option may be deemed part of their remuneration and, as such, subject to  mandatory employment benefits and social security charges.  As Enron is  willing to treat the amounts resulting from the stock option as being  unrelated to the employees remuneration and,</w:t>
        <w:br/>
        <w:t>thererefore, will not be taking  them into account for purposes of calculating employment and social security  benefits, we call your attention to the fact that this may be deemed a violation  of employment and social security laws (Please refer to June 1, 2001 e-mail to  Miguel Padron). It shoulld be stressed, however, that most of the companies which implement stock option plans restricted to a few executives prefer to  run the risk of future claims rather than to treat the amounts resulting from  the stock options as remuneration.  This is because high level employees do not often file labor claims.</w:t>
        <w:br/>
        <w:br/>
        <w:t xml:space="preserve">    </w:t>
        <w:br/>
        <w:t>    With respect to the alternatives suggested in the  July 30, 2001 memorandum, we understand that both can be implemented.   Alternative A seems better to us as it would immediately generate something to the employees outlining the stock option plan, while, in alternative B, it</w:t>
        <w:br/>
        <w:t>seems  to us that the employees would not have the information on the plan upfront,  what may jeopardize the purpose of retaining them in the company.</w:t>
        <w:br/>
        <w:br/>
        <w:t xml:space="preserve">    </w:t>
        <w:br/>
        <w:t xml:space="preserve">    With respect to the concern that the draft says that the Company (and not the Administrative Committee) would grant the options, we have no problem with mentioning one or the other.  For purposes of the  Brazilian laws, the Enron group is deemed the employer of all Brazilian  employers for all purposes.  Enron AmÃ©rica do Sul Ltda. or the Committee  represent the employer in the same way.  </w:t>
        <w:br/>
        <w:br/>
        <w:t xml:space="preserve">    </w:t>
        <w:br/>
        <w:t>    With respect to the term for the company to make  the specific grant, the draft can contain a language broad enough to avoid  problems depending on when the Committee meets.  The draft should, however, define some form of limit in time for the granting of the  options.</w:t>
        <w:br/>
        <w:br/>
        <w:t xml:space="preserve">    </w:t>
        <w:br/>
        <w:t>    Regarding the question on corporate veil issues, we  have in Brazil the concept of economic group, whereby any companies within an economic group (i.e., group of companies with common direction and/or ownership)  are responsible before employees of any of them for the</w:t>
        <w:br/>
        <w:t>compliance with  employment-related obligations.  This means that the economic group is  deemed, by a legal fiction, the employer and any and all companies of the group  are deemed part of the employer.  Therefore, it makes no difference whether  there stock options are granted by Enron AmÃ©rica do Sul Ltda. or by the  Administrative Committee.</w:t>
        <w:br/>
        <w:br/>
        <w:t xml:space="preserve">    </w:t>
        <w:br/>
        <w:t>    With respect to the broker and the brokerage fees,  the draft better define who will chose it (we though it should be Enron  Corp.) and  may say that the fees will vary according to the  market.</w:t>
        <w:br/>
        <w:br/>
        <w:t xml:space="preserve">    </w:t>
        <w:br/>
        <w:t>    With respect to the comments on sections 6, 7 and  8, as discussed before, their enforceability in Brazil is somewhat questionable  when it refers to obligations that remain in effect after</w:t>
        <w:br/>
        <w:t>the termination of an  employment agreement. Therefore, any provision on the consequences of a breach  of sections 6 and 8 would include the termination with cause (if the breach  occurs during the employment agreement) or the filing of criminal and civil  lawsuits against the employee (if the breach occurs after termination) without  being very specific.  We are not sure whether that would help or  hurt.</w:t>
        <w:br/>
        <w:br/>
        <w:t xml:space="preserve">    </w:t>
        <w:br/>
        <w:t>    We hope the foregoing is responsive to your  request.  Please let us know if you agree with our comments and if you want  us to implement the amendments to the draft as discussed herein.</w:t>
        <w:br/>
        <w:br/>
        <w:t xml:space="preserve">    </w:t>
        <w:br/>
        <w:t xml:space="preserve">    Regards, </w:t>
        <w:br/>
        <w:t xml:space="preserve">      </w:t>
        <w:br/>
        <w:t xml:space="preserve">      </w:t>
        <w:br/>
        <w:t xml:space="preserve">    _____________________________ </w:t>
        <w:br/>
        <w:t xml:space="preserve">    Luiz Guilherme  Migliora </w:t>
        <w:br/>
        <w:t xml:space="preserve">      </w:t>
        <w:br/>
        <w:t xml:space="preserve">    Veirano &amp; Advogados Associados </w:t>
        <w:br/>
        <w:t xml:space="preserve">    Av.  Presidente Wilson, 231/23Âº </w:t>
        <w:br/>
        <w:t>    20030-021 - Rio de Janeiro - Brasilmigliora@veirano.com.br</w:t>
        <w:br/>
        <w:t xml:space="preserve">&lt;&lt;mailto:migliora@veirano.com.br&gt;&gt; </w:t>
        <w:br/>
        <w:t xml:space="preserve">      </w:t>
        <w:br/>
        <w:t xml:space="preserve">    Tel.:  +55 21 3824-4743 </w:t>
        <w:br/>
        <w:t xml:space="preserve">    Fax.: +55 21  262-4247 </w:t>
        <w:br/>
        <w:t xml:space="preserve">      </w:t>
        <w:br/>
        <w:t xml:space="preserve">      </w:t>
        <w:br/>
        <w:t xml:space="preserve">    ----- Original Message -----  </w:t>
        <w:br/>
        <w:t>    From: "Sweet, Twanda" &lt;Twanda.Sweet@enron.com</w:t>
        <w:br/>
        <w:t xml:space="preserve">&lt;&lt;mailto:Twanda.Sweet@enron.com&gt;&gt; &gt; </w:t>
        <w:br/>
        <w:t>    To: "Treadwell, Robin L." &lt;Robin.L.Treadwell@enron.com</w:t>
        <w:br/>
        <w:t>&lt;&lt;mailto:Robin.L.Treadwell@enron.com&gt;&gt; &gt;;  "Novak, John"</w:t>
        <w:br/>
        <w:t>&lt;John.Novak@enron.com &lt;&lt;mailto:John.Novak@enron.com&gt;&gt; &gt;;</w:t>
        <w:br/>
        <w:t>&lt;toledo@veirano.com.br &lt;&lt;mailto:toledo@veirano.com.br&gt;&gt; &gt;</w:t>
        <w:br/>
        <w:br/>
        <w:t xml:space="preserve">    Sent: Monday, July 30, 2001 6:37 PM </w:t>
        <w:br/>
        <w:t xml:space="preserve">    Subject: FW: FW: Retention Plan Schedule </w:t>
        <w:br/>
        <w:t xml:space="preserve">    &gt;  -----Original  Message----- </w:t>
        <w:br/>
        <w:t xml:space="preserve">    &gt; From: FMackin@aol.com@ENRON &lt;&lt;mailto:FMackin@aol.com@ENRON&gt;&gt; </w:t>
        <w:br/>
        <w:t xml:space="preserve">    &gt;  [ mailto:IMCEANOTES-FMackin+40aol+2Ecom+40ENRON@ENRON.com] </w:t>
        <w:br/>
        <w:t xml:space="preserve">    &gt; Sent: Monday,  July 30, 2001 2:46 PM </w:t>
        <w:br/>
        <w:t xml:space="preserve">    &gt; To: Cash, Michelle </w:t>
        <w:br/>
        <w:t xml:space="preserve">    &gt; Cc: Butler, Pam </w:t>
        <w:br/>
        <w:t xml:space="preserve">    &gt;  Subject: Re: FW: Retention Plan Schedule </w:t>
        <w:br/>
        <w:t xml:space="preserve">    &gt; </w:t>
        <w:br/>
        <w:t xml:space="preserve">    &gt; Comments in attached  document </w:t>
        <w:br/>
        <w:t xml:space="preserve">    &gt; </w:t>
        <w:br/>
        <w:t>    &gt;  - Brazil stock options m1.doc &lt;&lt;Brazil  stock options</w:t>
        <w:br/>
        <w:t xml:space="preserve">m1.doc&gt;&gt;  </w:t>
        <w:b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overflowPunct w:val="true"/>
      <w:autoSpaceDE w:val="true"/>
      <w:spacing w:before="100" w:after="100"/>
      <w:textAlignment w:val="auto"/>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mackin@ao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2001-08-16T13:45:00Z</dcterms:created>
  <dc:creator>Mackin</dc:creator>
  <dc:description/>
  <dc:language>en-CA</dc:language>
  <cp:lastModifiedBy>Mackin</cp:lastModifiedBy>
  <cp:lastPrinted>2001-08-16T09:23:00Z</cp:lastPrinted>
  <dcterms:modified xsi:type="dcterms:W3CDTF">2001-08-16T14:34:00Z</dcterms:modified>
  <cp:revision>1</cp:revision>
  <dc:subject/>
  <dc:title>To:  Robin L</dc:title>
</cp:coreProperties>
</file>