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pacing w:val="20"/>
          <w:position w:val="6"/>
          <w:sz w:val="48"/>
        </w:rPr>
      </w:pPr>
      <w:r>
        <mc:AlternateContent>
          <mc:Choice Requires="wps">
            <w:drawing>
              <wp:anchor behindDoc="0" distT="0" distB="0" distL="114935" distR="114935" simplePos="0" locked="0" layoutInCell="1" allowOverlap="1" relativeHeight="2">
                <wp:simplePos x="0" y="0"/>
                <wp:positionH relativeFrom="column">
                  <wp:posOffset>0</wp:posOffset>
                </wp:positionH>
                <wp:positionV relativeFrom="paragraph">
                  <wp:posOffset>365760</wp:posOffset>
                </wp:positionV>
                <wp:extent cx="6400800" cy="0"/>
                <wp:effectExtent l="0" t="5080" r="0" b="5080"/>
                <wp:wrapNone/>
                <wp:docPr id="1" name=""/>
                <a:graphic xmlns:a="http://schemas.openxmlformats.org/drawingml/2006/main">
                  <a:graphicData uri="http://schemas.microsoft.com/office/word/2010/wordprocessingShape">
                    <wps:wsp>
                      <wps:cNvSpPr/>
                      <wps:spPr>
                        <a:xfrm>
                          <a:off x="0" y="0"/>
                          <a:ext cx="64008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28.8pt" to="503.95pt,28.8pt" stroked="t" o:allowincell="f" style="position:absolute">
                <v:stroke color="black" weight="9360" joinstyle="miter" endcap="flat"/>
                <v:fill o:detectmouseclick="t" on="false"/>
                <w10:wrap type="none"/>
              </v:line>
            </w:pict>
          </mc:Fallback>
        </mc:AlternateContent>
      </w:r>
      <w:r>
        <w:rPr>
          <w:spacing w:val="20"/>
          <w:position w:val="6"/>
          <w:sz w:val="48"/>
        </w:rPr>
        <w:t>Brant Reves</w:t>
      </w:r>
    </w:p>
    <w:p>
      <w:pPr>
        <w:pStyle w:val="Normal"/>
        <w:spacing w:lineRule="auto" w:line="360" w:before="120" w:after="0"/>
        <w:jc w:val="center"/>
        <w:rPr>
          <w:sz w:val="18"/>
        </w:rPr>
      </w:pPr>
      <w:r>
        <w:rPr>
          <w:sz w:val="18"/>
        </w:rPr>
        <w:t>1201 East 23</w:t>
      </w:r>
      <w:r>
        <w:rPr>
          <w:sz w:val="18"/>
          <w:vertAlign w:val="superscript"/>
        </w:rPr>
        <w:t>rd</w:t>
      </w:r>
      <w:r>
        <w:rPr>
          <w:sz w:val="18"/>
        </w:rPr>
        <w:t xml:space="preserve"> St.  ---  Houston, Texas  77009  ---  h: (713) 256-6593, w: (713) 853-9897  ---  </w:t>
      </w:r>
      <w:hyperlink r:id="rId2">
        <w:r>
          <w:rPr>
            <w:rStyle w:val="Hyperlink"/>
            <w:sz w:val="18"/>
          </w:rPr>
          <w:t>brant.reves@enron.com</w:t>
        </w:r>
      </w:hyperlink>
    </w:p>
    <w:p>
      <w:pPr>
        <w:pStyle w:val="Normal"/>
        <w:spacing w:lineRule="auto" w:line="360"/>
        <w:jc w:val="center"/>
        <w:rPr>
          <w:sz w:val="18"/>
        </w:rPr>
      </w:pPr>
      <w:r>
        <w:rPr>
          <w:sz w:val="18"/>
        </w:rPr>
      </w:r>
    </w:p>
    <w:p>
      <w:pPr>
        <w:pStyle w:val="Heading1"/>
        <w:ind w:hanging="0" w:start="0"/>
        <w:rPr>
          <w:sz w:val="24"/>
        </w:rPr>
      </w:pPr>
      <w:r>
        <w:rPr>
          <w:sz w:val="24"/>
        </w:rPr>
        <w:t>OBJECTIVE</w:t>
      </w:r>
    </w:p>
    <w:p>
      <w:pPr>
        <w:pStyle w:val="Normal"/>
        <w:rPr>
          <w:sz w:val="22"/>
        </w:rPr>
      </w:pPr>
      <w:r>
        <w:rPr>
          <w:sz w:val="22"/>
        </w:rPr>
        <w:t>To market energy management solutions to customers needing to buy or sell electricity.</w:t>
      </w:r>
    </w:p>
    <w:p>
      <w:pPr>
        <w:pStyle w:val="Normal"/>
        <w:rPr>
          <w:sz w:val="19"/>
        </w:rPr>
      </w:pPr>
      <w:r>
        <w:rPr>
          <w:sz w:val="19"/>
        </w:rPr>
      </w:r>
    </w:p>
    <w:p>
      <w:pPr>
        <w:pStyle w:val="Normal"/>
        <w:rPr>
          <w:sz w:val="19"/>
        </w:rPr>
      </w:pPr>
      <w:r>
        <w:rPr>
          <w:sz w:val="19"/>
        </w:rPr>
      </w:r>
    </w:p>
    <w:p>
      <w:pPr>
        <w:pStyle w:val="Heading3"/>
        <w:ind w:hanging="0" w:start="0"/>
        <w:rPr/>
      </w:pPr>
      <w:r>
        <w:rPr/>
        <w:t>EXPERIENCE</w:t>
      </w:r>
    </w:p>
    <w:p>
      <w:pPr>
        <w:pStyle w:val="Normal"/>
        <w:rPr/>
      </w:pPr>
      <w:r>
        <w:rPr/>
      </w:r>
    </w:p>
    <w:p>
      <w:pPr>
        <w:pStyle w:val="BodyText"/>
        <w:rPr>
          <w:b w:val="false"/>
          <w:bCs/>
          <w:sz w:val="22"/>
        </w:rPr>
      </w:pPr>
      <w:r>
        <w:rPr>
          <w:b w:val="false"/>
          <w:bCs/>
          <w:sz w:val="22"/>
        </w:rPr>
        <w:t>As a credit person, I have supported Enron business units for almost four years, specifically supporting domestic gas operations for more than three.  Knowing the dealmakers business and understanding the size, weight, and nature of the inherent risks of their opportunities helped me provide flexible solutions.  Working with people from all over the organization, including commercial deal teams, desks, back-office, mid-office, and other support functions, has provided a well-rounded, macro perspective on the way Enron conducts business.  And I learned the basics of deal modeling and transaction valuation/capture.</w:t>
      </w:r>
    </w:p>
    <w:p>
      <w:pPr>
        <w:pStyle w:val="Heading3"/>
        <w:ind w:hanging="0" w:start="0"/>
        <w:rPr>
          <w:b w:val="false"/>
          <w:bCs/>
          <w:sz w:val="22"/>
        </w:rPr>
      </w:pPr>
      <w:r>
        <w:rPr>
          <w:b w:val="false"/>
          <w:bCs/>
          <w:sz w:val="22"/>
        </w:rPr>
      </w:r>
    </w:p>
    <w:p>
      <w:pPr>
        <w:pStyle w:val="Normal"/>
        <w:rPr/>
      </w:pPr>
      <w:r>
        <w:rPr/>
      </w:r>
    </w:p>
    <w:p>
      <w:pPr>
        <w:pStyle w:val="Heading3"/>
        <w:ind w:hanging="0" w:start="0"/>
        <w:rPr/>
      </w:pPr>
      <w:r>
        <w:rPr/>
        <w:t>EMPLOYMENT HISTORY</w:t>
      </w:r>
    </w:p>
    <w:p>
      <w:pPr>
        <w:pStyle w:val="Normal"/>
        <w:rPr>
          <w:b/>
          <w:sz w:val="22"/>
        </w:rPr>
      </w:pPr>
      <w:r>
        <w:rPr>
          <w:b/>
          <w:sz w:val="22"/>
        </w:rPr>
      </w:r>
    </w:p>
    <w:p>
      <w:pPr>
        <w:pStyle w:val="Heading5"/>
        <w:ind w:hanging="0" w:start="0"/>
        <w:rPr>
          <w:b/>
          <w:bCs/>
        </w:rPr>
      </w:pPr>
      <w:r>
        <w:rPr>
          <w:b/>
          <w:bCs/>
        </w:rPr>
        <w:t>Enron Corp., Houston, Texas</w:t>
      </w:r>
    </w:p>
    <w:p>
      <w:pPr>
        <w:pStyle w:val="Normal"/>
        <w:tabs>
          <w:tab w:val="clear" w:pos="720"/>
          <w:tab w:val="left" w:pos="1890" w:leader="none"/>
          <w:tab w:val="left" w:pos="4590" w:leader="none"/>
          <w:tab w:val="left" w:pos="9000" w:leader="none"/>
          <w:tab w:val="left" w:pos="9630" w:leader="none"/>
          <w:tab w:val="left" w:pos="9810" w:leader="none"/>
          <w:tab w:val="left" w:pos="9990" w:leader="none"/>
        </w:tabs>
        <w:rPr>
          <w:b/>
          <w:bCs/>
          <w:sz w:val="22"/>
        </w:rPr>
      </w:pPr>
      <w:r>
        <w:rPr>
          <w:b/>
          <w:bCs/>
          <w:sz w:val="22"/>
        </w:rPr>
      </w:r>
    </w:p>
    <w:p>
      <w:pPr>
        <w:pStyle w:val="Normal"/>
        <w:tabs>
          <w:tab w:val="clear" w:pos="720"/>
          <w:tab w:val="left" w:pos="2250" w:leader="none"/>
          <w:tab w:val="left" w:pos="4590" w:leader="none"/>
          <w:tab w:val="left" w:pos="9000" w:leader="none"/>
          <w:tab w:val="left" w:pos="9630" w:leader="none"/>
          <w:tab w:val="left" w:pos="9810" w:leader="none"/>
          <w:tab w:val="left" w:pos="9990" w:leader="none"/>
        </w:tabs>
        <w:rPr>
          <w:b/>
          <w:bCs/>
          <w:sz w:val="22"/>
        </w:rPr>
      </w:pPr>
      <w:r>
        <w:rPr>
          <w:b/>
          <w:bCs/>
          <w:sz w:val="22"/>
        </w:rPr>
        <w:t>Jun’01 - Current</w:t>
        <w:tab/>
        <w:t>Sr. Analyst</w:t>
        <w:tab/>
        <w:t>Special Project – “Timber”</w:t>
        <w:tab/>
      </w:r>
    </w:p>
    <w:p>
      <w:pPr>
        <w:pStyle w:val="Normal"/>
        <w:tabs>
          <w:tab w:val="clear" w:pos="720"/>
          <w:tab w:val="left" w:pos="1890" w:leader="none"/>
          <w:tab w:val="left" w:pos="4590" w:leader="none"/>
          <w:tab w:val="left" w:pos="9000" w:leader="none"/>
          <w:tab w:val="left" w:pos="9630" w:leader="none"/>
          <w:tab w:val="left" w:pos="9810" w:leader="none"/>
          <w:tab w:val="left" w:pos="9990" w:leader="none"/>
        </w:tabs>
        <w:rPr>
          <w:b/>
          <w:bCs/>
          <w:sz w:val="22"/>
        </w:rPr>
      </w:pPr>
      <w:r>
        <w:rPr>
          <w:b/>
          <w:bCs/>
          <w:sz w:val="22"/>
        </w:rPr>
      </w:r>
    </w:p>
    <w:p>
      <w:pPr>
        <w:pStyle w:val="Normal"/>
        <w:tabs>
          <w:tab w:val="clear" w:pos="720"/>
          <w:tab w:val="left" w:pos="2250" w:leader="none"/>
          <w:tab w:val="left" w:pos="4590" w:leader="none"/>
          <w:tab w:val="left" w:pos="9000" w:leader="none"/>
          <w:tab w:val="left" w:pos="9630" w:leader="none"/>
          <w:tab w:val="left" w:pos="9810" w:leader="none"/>
          <w:tab w:val="left" w:pos="9990" w:leader="none"/>
        </w:tabs>
        <w:rPr>
          <w:b/>
          <w:bCs/>
          <w:sz w:val="22"/>
        </w:rPr>
      </w:pPr>
      <w:r>
        <w:rPr>
          <w:b/>
          <w:bCs/>
          <w:sz w:val="22"/>
        </w:rPr>
        <w:t>Mar’01 – May’01</w:t>
        <w:tab/>
        <w:t>Sr. Analyst</w:t>
        <w:tab/>
        <w:t>Credit - Coal, NGLs, Refined Products</w:t>
      </w:r>
    </w:p>
    <w:p>
      <w:pPr>
        <w:pStyle w:val="Normal"/>
        <w:tabs>
          <w:tab w:val="clear" w:pos="720"/>
          <w:tab w:val="left" w:pos="1890" w:leader="none"/>
          <w:tab w:val="left" w:pos="4590" w:leader="none"/>
          <w:tab w:val="left" w:pos="9000" w:leader="none"/>
          <w:tab w:val="left" w:pos="9630" w:leader="none"/>
          <w:tab w:val="left" w:pos="9810" w:leader="none"/>
          <w:tab w:val="left" w:pos="9990" w:leader="none"/>
        </w:tabs>
        <w:rPr>
          <w:b/>
          <w:bCs/>
          <w:sz w:val="22"/>
        </w:rPr>
      </w:pPr>
      <w:r>
        <w:rPr>
          <w:b/>
          <w:bCs/>
          <w:sz w:val="22"/>
        </w:rPr>
      </w:r>
    </w:p>
    <w:p>
      <w:pPr>
        <w:pStyle w:val="Normal"/>
        <w:tabs>
          <w:tab w:val="clear" w:pos="720"/>
          <w:tab w:val="left" w:pos="2250" w:leader="none"/>
          <w:tab w:val="left" w:pos="4590" w:leader="none"/>
          <w:tab w:val="left" w:pos="9000" w:leader="none"/>
          <w:tab w:val="left" w:pos="9630" w:leader="none"/>
          <w:tab w:val="left" w:pos="9810" w:leader="none"/>
          <w:tab w:val="left" w:pos="9990" w:leader="none"/>
        </w:tabs>
        <w:rPr>
          <w:b/>
          <w:bCs/>
          <w:sz w:val="22"/>
        </w:rPr>
      </w:pPr>
      <w:r>
        <w:rPr>
          <w:b/>
          <w:bCs/>
          <w:sz w:val="22"/>
        </w:rPr>
        <w:t>Jan’00 – Feb’01</w:t>
        <w:tab/>
        <w:t>Sr. Analyst</w:t>
        <w:tab/>
        <w:t>Credit - Wholesale Origination – Gas/Power</w:t>
      </w:r>
    </w:p>
    <w:p>
      <w:pPr>
        <w:pStyle w:val="Normal"/>
        <w:tabs>
          <w:tab w:val="clear" w:pos="720"/>
          <w:tab w:val="left" w:pos="1890" w:leader="none"/>
          <w:tab w:val="left" w:pos="4590" w:leader="none"/>
          <w:tab w:val="left" w:pos="9000" w:leader="none"/>
          <w:tab w:val="left" w:pos="9630" w:leader="none"/>
          <w:tab w:val="left" w:pos="9810" w:leader="none"/>
          <w:tab w:val="left" w:pos="9990" w:leader="none"/>
        </w:tabs>
        <w:rPr>
          <w:b/>
          <w:bCs/>
          <w:sz w:val="22"/>
        </w:rPr>
      </w:pPr>
      <w:r>
        <w:rPr>
          <w:b/>
          <w:bCs/>
          <w:sz w:val="22"/>
        </w:rPr>
      </w:r>
    </w:p>
    <w:p>
      <w:pPr>
        <w:pStyle w:val="Normal"/>
        <w:tabs>
          <w:tab w:val="clear" w:pos="720"/>
          <w:tab w:val="left" w:pos="2250" w:leader="none"/>
          <w:tab w:val="left" w:pos="4590" w:leader="none"/>
          <w:tab w:val="left" w:pos="9000" w:leader="none"/>
          <w:tab w:val="left" w:pos="9630" w:leader="none"/>
          <w:tab w:val="left" w:pos="9810" w:leader="none"/>
          <w:tab w:val="left" w:pos="9990" w:leader="none"/>
        </w:tabs>
        <w:rPr>
          <w:b/>
          <w:bCs/>
          <w:sz w:val="22"/>
        </w:rPr>
      </w:pPr>
      <w:r>
        <w:rPr>
          <w:b/>
          <w:bCs/>
          <w:sz w:val="22"/>
        </w:rPr>
        <w:t>Jan’99 – Dec’99</w:t>
        <w:tab/>
        <w:t>Sr. Analyst</w:t>
        <w:tab/>
        <w:t>Lead Credit Analyst – Domestic Gas</w:t>
        <w:tab/>
        <w:tab/>
      </w:r>
    </w:p>
    <w:p>
      <w:pPr>
        <w:pStyle w:val="Normal"/>
        <w:tabs>
          <w:tab w:val="clear" w:pos="720"/>
          <w:tab w:val="left" w:pos="1890" w:leader="none"/>
          <w:tab w:val="left" w:pos="4590" w:leader="none"/>
          <w:tab w:val="left" w:pos="9000" w:leader="none"/>
          <w:tab w:val="left" w:pos="9630" w:leader="none"/>
          <w:tab w:val="left" w:pos="9810" w:leader="none"/>
          <w:tab w:val="left" w:pos="9990" w:leader="none"/>
        </w:tabs>
        <w:rPr>
          <w:b/>
          <w:bCs/>
          <w:sz w:val="22"/>
        </w:rPr>
      </w:pPr>
      <w:r>
        <w:rPr>
          <w:b/>
          <w:bCs/>
          <w:sz w:val="22"/>
        </w:rPr>
      </w:r>
    </w:p>
    <w:p>
      <w:pPr>
        <w:pStyle w:val="Normal"/>
        <w:tabs>
          <w:tab w:val="clear" w:pos="720"/>
          <w:tab w:val="left" w:pos="2250" w:leader="none"/>
          <w:tab w:val="left" w:pos="4590" w:leader="none"/>
          <w:tab w:val="left" w:pos="9000" w:leader="none"/>
          <w:tab w:val="left" w:pos="9630" w:leader="none"/>
          <w:tab w:val="left" w:pos="9810" w:leader="none"/>
          <w:tab w:val="left" w:pos="9990" w:leader="none"/>
        </w:tabs>
        <w:rPr>
          <w:b/>
          <w:bCs/>
          <w:sz w:val="22"/>
        </w:rPr>
      </w:pPr>
      <w:r>
        <w:rPr>
          <w:b/>
          <w:bCs/>
          <w:sz w:val="22"/>
        </w:rPr>
        <w:t>Aug’97 – Dec’98</w:t>
        <w:tab/>
        <w:t>Analyst</w:t>
        <w:tab/>
        <w:t>Credit Analyst – Domestic Gas</w:t>
      </w:r>
    </w:p>
    <w:p>
      <w:pPr>
        <w:pStyle w:val="Normal"/>
        <w:tabs>
          <w:tab w:val="clear" w:pos="720"/>
          <w:tab w:val="left" w:pos="1890" w:leader="none"/>
          <w:tab w:val="left" w:pos="4590" w:leader="none"/>
          <w:tab w:val="left" w:pos="9000" w:leader="none"/>
          <w:tab w:val="left" w:pos="9630" w:leader="none"/>
          <w:tab w:val="left" w:pos="9810" w:leader="none"/>
          <w:tab w:val="left" w:pos="9990" w:leader="none"/>
        </w:tabs>
        <w:rPr>
          <w:sz w:val="22"/>
        </w:rPr>
      </w:pPr>
      <w:r>
        <w:rPr>
          <w:b/>
          <w:bCs/>
          <w:sz w:val="22"/>
        </w:rPr>
        <w:tab/>
        <w:tab/>
        <w:t>Credit Analyst – Canadian Gas</w:t>
      </w:r>
    </w:p>
    <w:p>
      <w:pPr>
        <w:pStyle w:val="Normal"/>
        <w:tabs>
          <w:tab w:val="clear" w:pos="720"/>
          <w:tab w:val="left" w:pos="1890" w:leader="none"/>
          <w:tab w:val="left" w:pos="4590" w:leader="none"/>
          <w:tab w:val="left" w:pos="9000" w:leader="none"/>
          <w:tab w:val="left" w:pos="9630" w:leader="none"/>
          <w:tab w:val="left" w:pos="9810" w:leader="none"/>
          <w:tab w:val="left" w:pos="9990" w:leader="none"/>
        </w:tabs>
        <w:rPr>
          <w:sz w:val="22"/>
        </w:rPr>
      </w:pPr>
      <w:r>
        <w:rPr>
          <w:sz w:val="22"/>
        </w:rPr>
      </w:r>
    </w:p>
    <w:p>
      <w:pPr>
        <w:pStyle w:val="Heading5"/>
        <w:ind w:hanging="0" w:start="0"/>
        <w:rPr>
          <w:sz w:val="19"/>
        </w:rPr>
      </w:pPr>
      <w:r>
        <w:rPr/>
        <w:t>Citizens Bank, Corpus Christi, Texas</w:t>
      </w:r>
    </w:p>
    <w:p>
      <w:pPr>
        <w:pStyle w:val="Normal"/>
        <w:tabs>
          <w:tab w:val="clear" w:pos="720"/>
          <w:tab w:val="left" w:pos="1890" w:leader="none"/>
          <w:tab w:val="left" w:pos="4590" w:leader="none"/>
          <w:tab w:val="left" w:pos="9000" w:leader="none"/>
          <w:tab w:val="left" w:pos="9630" w:leader="none"/>
          <w:tab w:val="left" w:pos="9810" w:leader="none"/>
          <w:tab w:val="left" w:pos="9990" w:leader="none"/>
        </w:tabs>
        <w:rPr>
          <w:sz w:val="19"/>
        </w:rPr>
      </w:pPr>
      <w:r>
        <w:rPr>
          <w:sz w:val="19"/>
        </w:rPr>
      </w:r>
    </w:p>
    <w:p>
      <w:pPr>
        <w:pStyle w:val="Normal"/>
        <w:tabs>
          <w:tab w:val="clear" w:pos="720"/>
          <w:tab w:val="left" w:pos="2250" w:leader="none"/>
          <w:tab w:val="left" w:pos="4590" w:leader="none"/>
          <w:tab w:val="left" w:pos="9000" w:leader="none"/>
          <w:tab w:val="left" w:pos="9630" w:leader="none"/>
          <w:tab w:val="left" w:pos="9810" w:leader="none"/>
          <w:tab w:val="left" w:pos="9990" w:leader="none"/>
        </w:tabs>
        <w:rPr>
          <w:sz w:val="22"/>
        </w:rPr>
      </w:pPr>
      <w:r>
        <w:rPr>
          <w:sz w:val="22"/>
        </w:rPr>
        <w:t>1994-1995</w:t>
        <w:tab/>
        <w:t>Analyst</w:t>
        <w:tab/>
        <w:t>Credit Analysis – Gas Producers</w:t>
      </w:r>
    </w:p>
    <w:p>
      <w:pPr>
        <w:pStyle w:val="Normal"/>
        <w:tabs>
          <w:tab w:val="clear" w:pos="720"/>
          <w:tab w:val="left" w:pos="2250" w:leader="none"/>
          <w:tab w:val="left" w:pos="4590" w:leader="none"/>
          <w:tab w:val="left" w:pos="9000" w:leader="none"/>
          <w:tab w:val="left" w:pos="9630" w:leader="none"/>
          <w:tab w:val="left" w:pos="9810" w:leader="none"/>
          <w:tab w:val="left" w:pos="9990" w:leader="none"/>
        </w:tabs>
        <w:rPr>
          <w:sz w:val="22"/>
        </w:rPr>
      </w:pPr>
      <w:r>
        <w:rPr>
          <w:sz w:val="22"/>
        </w:rPr>
      </w:r>
    </w:p>
    <w:p>
      <w:pPr>
        <w:pStyle w:val="Heading5"/>
        <w:tabs>
          <w:tab w:val="clear" w:pos="1890"/>
          <w:tab w:val="clear" w:pos="4590"/>
          <w:tab w:val="clear" w:pos="9000"/>
          <w:tab w:val="clear" w:pos="9630"/>
          <w:tab w:val="clear" w:pos="9810"/>
          <w:tab w:val="clear" w:pos="9990"/>
        </w:tabs>
        <w:ind w:hanging="0" w:start="0"/>
        <w:rPr/>
      </w:pPr>
      <w:r>
        <w:rPr/>
        <w:t>FN Wolf &amp; Company, Houston, Texas</w:t>
      </w:r>
    </w:p>
    <w:p>
      <w:pPr>
        <w:pStyle w:val="Normal"/>
        <w:rPr>
          <w:sz w:val="19"/>
        </w:rPr>
      </w:pPr>
      <w:r>
        <w:rPr>
          <w:sz w:val="19"/>
        </w:rPr>
      </w:r>
    </w:p>
    <w:p>
      <w:pPr>
        <w:pStyle w:val="Normal"/>
        <w:tabs>
          <w:tab w:val="clear" w:pos="720"/>
          <w:tab w:val="left" w:pos="2250" w:leader="none"/>
        </w:tabs>
        <w:rPr>
          <w:sz w:val="22"/>
        </w:rPr>
      </w:pPr>
      <w:r>
        <w:rPr>
          <w:sz w:val="22"/>
        </w:rPr>
        <w:t>1993</w:t>
        <w:tab/>
        <w:t>Stockbroker</w:t>
      </w:r>
    </w:p>
    <w:p>
      <w:pPr>
        <w:pStyle w:val="Normal"/>
        <w:rPr>
          <w:sz w:val="19"/>
        </w:rPr>
      </w:pPr>
      <w:r>
        <w:rPr>
          <w:sz w:val="19"/>
        </w:rPr>
      </w:r>
    </w:p>
    <w:p>
      <w:pPr>
        <w:pStyle w:val="Normal"/>
        <w:rPr>
          <w:sz w:val="19"/>
        </w:rPr>
      </w:pPr>
      <w:r>
        <w:rPr>
          <w:sz w:val="19"/>
        </w:rPr>
      </w:r>
    </w:p>
    <w:p>
      <w:pPr>
        <w:pStyle w:val="Heading4"/>
        <w:ind w:hanging="0" w:start="0"/>
        <w:rPr>
          <w:sz w:val="24"/>
        </w:rPr>
      </w:pPr>
      <w:r>
        <w:rPr>
          <w:sz w:val="24"/>
        </w:rPr>
        <w:t>EDUCATION</w:t>
      </w:r>
    </w:p>
    <w:p>
      <w:pPr>
        <w:pStyle w:val="Normal"/>
        <w:rPr>
          <w:sz w:val="19"/>
        </w:rPr>
      </w:pPr>
      <w:r>
        <w:rPr>
          <w:sz w:val="19"/>
        </w:rPr>
      </w:r>
    </w:p>
    <w:p>
      <w:pPr>
        <w:pStyle w:val="Normal"/>
        <w:tabs>
          <w:tab w:val="clear" w:pos="720"/>
          <w:tab w:val="left" w:pos="2250" w:leader="none"/>
          <w:tab w:val="left" w:pos="4590" w:leader="none"/>
        </w:tabs>
        <w:rPr>
          <w:sz w:val="22"/>
        </w:rPr>
      </w:pPr>
      <w:r>
        <w:rPr>
          <w:sz w:val="22"/>
        </w:rPr>
        <w:t>1996 – May’97</w:t>
        <w:tab/>
        <w:t>MBA</w:t>
        <w:tab/>
        <w:t>Texas A&amp;M University Corpus Christi</w:t>
      </w:r>
    </w:p>
    <w:p>
      <w:pPr>
        <w:pStyle w:val="Normal"/>
        <w:tabs>
          <w:tab w:val="clear" w:pos="720"/>
          <w:tab w:val="left" w:pos="2250" w:leader="none"/>
        </w:tabs>
        <w:rPr>
          <w:sz w:val="22"/>
        </w:rPr>
      </w:pPr>
      <w:r>
        <w:rPr>
          <w:sz w:val="22"/>
        </w:rPr>
      </w:r>
    </w:p>
    <w:p>
      <w:pPr>
        <w:pStyle w:val="Normal"/>
        <w:tabs>
          <w:tab w:val="clear" w:pos="720"/>
          <w:tab w:val="left" w:pos="2250" w:leader="none"/>
          <w:tab w:val="left" w:pos="4590" w:leader="none"/>
        </w:tabs>
        <w:rPr>
          <w:sz w:val="22"/>
        </w:rPr>
      </w:pPr>
      <w:r>
        <w:rPr>
          <w:sz w:val="22"/>
        </w:rPr>
        <w:t>1993</w:t>
        <w:tab/>
        <w:t>BBA – Finance</w:t>
        <w:tab/>
        <w:t>University of Houston</w:t>
      </w:r>
    </w:p>
    <w:p>
      <w:pPr>
        <w:pStyle w:val="Normal"/>
        <w:tabs>
          <w:tab w:val="clear" w:pos="720"/>
          <w:tab w:val="left" w:pos="4590" w:leader="none"/>
        </w:tabs>
        <w:rPr>
          <w:sz w:val="22"/>
        </w:rPr>
      </w:pPr>
      <w:r>
        <w:rPr>
          <w:sz w:val="22"/>
        </w:rPr>
        <w:t>1988 – 1991</w:t>
        <w:tab/>
        <w:t>Texas A&amp;M University Kingsville – Football Scholarship</w:t>
      </w:r>
    </w:p>
    <w:p>
      <w:pPr>
        <w:pStyle w:val="Normal"/>
        <w:rPr>
          <w:sz w:val="19"/>
        </w:rPr>
      </w:pPr>
      <w:r>
        <w:rPr>
          <w:sz w:val="19"/>
        </w:rPr>
      </w:r>
    </w:p>
    <w:p>
      <w:pPr>
        <w:pStyle w:val="Normal"/>
        <w:rPr>
          <w:sz w:val="19"/>
        </w:rPr>
      </w:pPr>
      <w:r>
        <w:rPr>
          <w:sz w:val="19"/>
        </w:rPr>
      </w:r>
    </w:p>
    <w:p>
      <w:pPr>
        <w:pStyle w:val="Heading3"/>
        <w:ind w:hanging="0" w:start="0"/>
        <w:rPr>
          <w:sz w:val="22"/>
        </w:rPr>
      </w:pPr>
      <w:r>
        <w:rPr>
          <w:sz w:val="22"/>
        </w:rPr>
        <w:t>INTERESTS</w:t>
      </w:r>
    </w:p>
    <w:p>
      <w:pPr>
        <w:pStyle w:val="Normal"/>
        <w:rPr>
          <w:sz w:val="22"/>
        </w:rPr>
      </w:pPr>
      <w:r>
        <w:rPr>
          <w:sz w:val="22"/>
        </w:rPr>
        <w:t>Marathons, Adventure/Expedition Racing, Skiing, League Sports - football, softball, basketball</w:t>
      </w:r>
    </w:p>
    <w:sectPr>
      <w:type w:val="nextPage"/>
      <w:pgSz w:w="12240" w:h="15840"/>
      <w:pgMar w:left="1008" w:right="1008"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uto" w:line="360"/>
      <w:outlineLvl w:val="0"/>
    </w:pPr>
    <w:rPr>
      <w:b/>
      <w:sz w:val="22"/>
    </w:rPr>
  </w:style>
  <w:style w:type="paragraph" w:styleId="Heading2">
    <w:name w:val="heading 2"/>
    <w:basedOn w:val="Normal"/>
    <w:next w:val="Normal"/>
    <w:qFormat/>
    <w:pPr>
      <w:keepNext w:val="true"/>
      <w:numPr>
        <w:ilvl w:val="1"/>
        <w:numId w:val="1"/>
      </w:numPr>
      <w:outlineLvl w:val="1"/>
    </w:pPr>
    <w:rPr>
      <w:b/>
      <w:sz w:val="16"/>
    </w:rPr>
  </w:style>
  <w:style w:type="paragraph" w:styleId="Heading3">
    <w:name w:val="heading 3"/>
    <w:basedOn w:val="Normal"/>
    <w:next w:val="Normal"/>
    <w:qFormat/>
    <w:pPr>
      <w:keepNext w:val="true"/>
      <w:numPr>
        <w:ilvl w:val="2"/>
        <w:numId w:val="1"/>
      </w:numPr>
      <w:outlineLvl w:val="2"/>
    </w:pPr>
    <w:rPr>
      <w:b/>
      <w:sz w:val="24"/>
    </w:rPr>
  </w:style>
  <w:style w:type="paragraph" w:styleId="Heading4">
    <w:name w:val="heading 4"/>
    <w:basedOn w:val="Normal"/>
    <w:next w:val="Normal"/>
    <w:qFormat/>
    <w:pPr>
      <w:keepNext w:val="true"/>
      <w:numPr>
        <w:ilvl w:val="3"/>
        <w:numId w:val="1"/>
      </w:numPr>
      <w:outlineLvl w:val="3"/>
    </w:pPr>
    <w:rPr>
      <w:b/>
    </w:rPr>
  </w:style>
  <w:style w:type="paragraph" w:styleId="Heading5">
    <w:name w:val="heading 5"/>
    <w:basedOn w:val="Normal"/>
    <w:next w:val="Normal"/>
    <w:qFormat/>
    <w:pPr>
      <w:keepNext w:val="true"/>
      <w:numPr>
        <w:ilvl w:val="4"/>
        <w:numId w:val="1"/>
      </w:numPr>
      <w:tabs>
        <w:tab w:val="clear" w:pos="720"/>
        <w:tab w:val="left" w:pos="1890" w:leader="none"/>
        <w:tab w:val="left" w:pos="4590" w:leader="none"/>
        <w:tab w:val="left" w:pos="9000" w:leader="none"/>
        <w:tab w:val="left" w:pos="9630" w:leader="none"/>
        <w:tab w:val="left" w:pos="9810" w:leader="none"/>
        <w:tab w:val="left" w:pos="9990" w:leader="none"/>
      </w:tabs>
      <w:outlineLvl w:val="4"/>
    </w:pPr>
    <w:rPr>
      <w:i/>
      <w:iCs/>
      <w:sz w:val="22"/>
      <w:u w:val="single"/>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sz w:val="52"/>
    </w:rPr>
  </w:style>
  <w:style w:type="paragraph" w:styleId="BodyText">
    <w:name w:val="Body Text"/>
    <w:basedOn w:val="Normal"/>
    <w:pPr/>
    <w:rPr>
      <w:b/>
      <w:sz w:val="2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rant.reves@enron.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2001-07-12T16:21:00Z</dcterms:created>
  <dc:creator>breves</dc:creator>
  <dc:description/>
  <dc:language>en-CA</dc:language>
  <cp:lastModifiedBy>breves</cp:lastModifiedBy>
  <cp:lastPrinted>2001-07-12T13:49:00Z</cp:lastPrinted>
  <dcterms:modified xsi:type="dcterms:W3CDTF">2001-07-12T16:21:00Z</dcterms:modified>
  <cp:revision>2</cp:revision>
  <dc:subject/>
  <dc:title>Brant Reves</dc:title>
</cp:coreProperties>
</file>