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BRADLEY GOOD</w:t>
      </w:r>
    </w:p>
    <w:p>
      <w:pPr>
        <w:pStyle w:val="Normal"/>
        <w:jc w:val="center"/>
        <w:rPr>
          <w:rFonts w:ascii="Times New Roman" w:hAnsi="Times New Roman" w:cs="Times New Roman"/>
          <w:sz w:val="22"/>
        </w:rPr>
      </w:pPr>
      <w:r>
        <w:rPr>
          <w:rFonts w:cs="Times New Roman" w:ascii="Times New Roman" w:hAnsi="Times New Roman"/>
          <w:sz w:val="22"/>
        </w:rPr>
        <w:t>+65-9748-5812</w:t>
      </w:r>
    </w:p>
    <w:p>
      <w:pPr>
        <w:pStyle w:val="Normal"/>
        <w:jc w:val="center"/>
        <w:rPr>
          <w:rFonts w:ascii="Times New Roman" w:hAnsi="Times New Roman" w:cs="Times New Roman"/>
          <w:sz w:val="22"/>
        </w:rPr>
      </w:pPr>
      <w:r>
        <w:rPr>
          <w:rFonts w:cs="Times New Roman" w:ascii="Times New Roman" w:hAnsi="Times New Roman"/>
          <w:sz w:val="22"/>
        </w:rPr>
        <w:t>bradgood@magix.com.sg</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4"/>
        </w:rPr>
      </w:pPr>
      <w:r>
        <w:rPr>
          <w:rFonts w:cs="Times New Roman" w:ascii="Times New Roman" w:hAnsi="Times New Roman"/>
          <w:b/>
          <w:sz w:val="24"/>
        </w:rPr>
        <w:t>1999 - present</w:t>
      </w:r>
    </w:p>
    <w:p>
      <w:pPr>
        <w:pStyle w:val="Heading1"/>
        <w:ind w:hanging="0" w:start="0"/>
        <w:jc w:val="start"/>
        <w:rPr>
          <w:b/>
          <w:bCs/>
        </w:rPr>
      </w:pPr>
      <w:r>
        <w:rPr>
          <w:b/>
          <w:bCs/>
        </w:rPr>
        <w:t>SCIENT</w:t>
      </w:r>
    </w:p>
    <w:p>
      <w:pPr>
        <w:pStyle w:val="Normal"/>
        <w:rPr>
          <w:rFonts w:ascii="Times New Roman" w:hAnsi="Times New Roman" w:cs="Times New Roman"/>
          <w:sz w:val="22"/>
        </w:rPr>
      </w:pPr>
      <w:r>
        <w:rPr>
          <w:rFonts w:cs="Times New Roman" w:ascii="Times New Roman" w:hAnsi="Times New Roman"/>
          <w:b/>
          <w:sz w:val="24"/>
        </w:rPr>
        <w:t>Managing Director</w:t>
      </w:r>
    </w:p>
    <w:p>
      <w:pPr>
        <w:pStyle w:val="BodyText2"/>
        <w:numPr>
          <w:ilvl w:val="0"/>
          <w:numId w:val="2"/>
        </w:numPr>
        <w:tabs>
          <w:tab w:val="clear" w:pos="720"/>
        </w:tabs>
        <w:ind w:hanging="360" w:start="360" w:end="0"/>
        <w:jc w:val="start"/>
        <w:rPr/>
      </w:pPr>
      <w:r>
        <w:rPr/>
        <w:t>Responsible for leading large teams to create entire eBusinesses from start to finish, including developing eBusiness strategies and plays, developing and implementing an architecture to support them, and then ensuring that the organizations stay on the leading edge of innovation by building capabilities for continual improvement.</w:t>
      </w:r>
    </w:p>
    <w:p>
      <w:pPr>
        <w:pStyle w:val="BodyText2"/>
        <w:numPr>
          <w:ilvl w:val="0"/>
          <w:numId w:val="2"/>
        </w:numPr>
        <w:tabs>
          <w:tab w:val="clear" w:pos="720"/>
        </w:tabs>
        <w:ind w:hanging="360" w:start="360" w:end="0"/>
        <w:jc w:val="start"/>
        <w:rPr/>
      </w:pPr>
      <w:r>
        <w:rPr/>
        <w:t xml:space="preserve">Responsible for ensuring that superior results are delivered to Scient’s Financial Service clients.  This includes providing strong executive management and project capabilities in order to develop and present business cases for top management sponsorship.  </w:t>
      </w:r>
    </w:p>
    <w:p>
      <w:pPr>
        <w:pStyle w:val="BodyText2"/>
        <w:numPr>
          <w:ilvl w:val="0"/>
          <w:numId w:val="2"/>
        </w:numPr>
        <w:tabs>
          <w:tab w:val="clear" w:pos="720"/>
        </w:tabs>
        <w:ind w:hanging="360" w:start="360" w:end="0"/>
        <w:jc w:val="start"/>
        <w:rPr/>
      </w:pPr>
      <w:r>
        <w:rPr/>
        <w:t xml:space="preserve">Special expertise in how organizations can integrate their eBusiness strategies with other distribution channels in order to maximize revenue, transform customer service, and decrease costs.  </w:t>
      </w:r>
    </w:p>
    <w:p>
      <w:pPr>
        <w:pStyle w:val="BodyText2"/>
        <w:numPr>
          <w:ilvl w:val="1"/>
          <w:numId w:val="2"/>
        </w:numPr>
        <w:tabs>
          <w:tab w:val="clear" w:pos="720"/>
        </w:tabs>
        <w:ind w:hanging="360" w:start="720" w:end="0"/>
        <w:jc w:val="start"/>
        <w:rPr/>
      </w:pPr>
      <w:r>
        <w:rPr/>
        <w:t>Authored Scient Point of View titled: “The Banker’s eBusiness Imperative: Integrating the Branches with The Web” (Currently posted on Scient’s website.)</w:t>
      </w:r>
    </w:p>
    <w:p>
      <w:pPr>
        <w:pStyle w:val="Normal"/>
        <w:numPr>
          <w:ilvl w:val="0"/>
          <w:numId w:val="2"/>
        </w:numPr>
        <w:tabs>
          <w:tab w:val="clear" w:pos="720"/>
        </w:tabs>
        <w:ind w:hanging="360" w:start="360" w:end="0"/>
        <w:rPr>
          <w:rFonts w:ascii="Times New Roman" w:hAnsi="Times New Roman" w:cs="Times New Roman"/>
          <w:sz w:val="22"/>
        </w:rPr>
      </w:pPr>
      <w:r>
        <w:rPr>
          <w:rFonts w:cs="Times New Roman" w:ascii="Times New Roman" w:hAnsi="Times New Roman"/>
          <w:sz w:val="22"/>
        </w:rPr>
        <w:t xml:space="preserve">Most recently, worked on a U.S. based first-to-market aggregator of financial and personal information targeted at the high net-worth segment of the consumer market.  </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4"/>
        </w:rPr>
      </w:pPr>
      <w:r>
        <w:rPr>
          <w:rFonts w:cs="Times New Roman" w:ascii="Times New Roman" w:hAnsi="Times New Roman"/>
          <w:b/>
          <w:sz w:val="24"/>
        </w:rPr>
        <w:t>1995 - 1999</w:t>
      </w:r>
    </w:p>
    <w:p>
      <w:pPr>
        <w:pStyle w:val="Normal"/>
        <w:jc w:val="both"/>
        <w:rPr/>
      </w:pPr>
      <w:r>
        <w:rPr>
          <w:rFonts w:cs="Times New Roman" w:ascii="Times New Roman" w:hAnsi="Times New Roman"/>
          <w:b/>
          <w:sz w:val="24"/>
        </w:rPr>
        <w:t xml:space="preserve">UNITED OVERSEAS BANK GROUP (UOB), </w:t>
      </w:r>
      <w:r>
        <w:rPr>
          <w:rFonts w:cs="Times New Roman" w:ascii="Times New Roman" w:hAnsi="Times New Roman"/>
          <w:b/>
          <w:bCs/>
          <w:sz w:val="24"/>
        </w:rPr>
        <w:t>Singapore</w:t>
      </w:r>
    </w:p>
    <w:p>
      <w:pPr>
        <w:pStyle w:val="Normal"/>
        <w:jc w:val="both"/>
        <w:rPr>
          <w:rFonts w:ascii="Times New Roman" w:hAnsi="Times New Roman" w:cs="Times New Roman"/>
          <w:sz w:val="22"/>
        </w:rPr>
      </w:pPr>
      <w:r>
        <w:rPr>
          <w:rFonts w:cs="Times New Roman" w:ascii="Times New Roman" w:hAnsi="Times New Roman"/>
          <w:b/>
          <w:sz w:val="24"/>
        </w:rPr>
        <w:t>Head, Retail Banking Network</w:t>
      </w:r>
    </w:p>
    <w:p>
      <w:pPr>
        <w:pStyle w:val="BodyText"/>
        <w:numPr>
          <w:ilvl w:val="0"/>
          <w:numId w:val="2"/>
        </w:numPr>
        <w:tabs>
          <w:tab w:val="clear" w:pos="720"/>
        </w:tabs>
        <w:ind w:hanging="360" w:start="360" w:end="0"/>
        <w:jc w:val="start"/>
        <w:rPr>
          <w:sz w:val="22"/>
        </w:rPr>
      </w:pPr>
      <w:r>
        <w:rPr>
          <w:sz w:val="22"/>
        </w:rPr>
        <w:t>Accountable for over 1,600 employees and a P&amp;L of hundreds of millions of dollars.</w:t>
      </w:r>
    </w:p>
    <w:p>
      <w:pPr>
        <w:pStyle w:val="BodyText"/>
        <w:numPr>
          <w:ilvl w:val="0"/>
          <w:numId w:val="2"/>
        </w:numPr>
        <w:tabs>
          <w:tab w:val="clear" w:pos="720"/>
        </w:tabs>
        <w:ind w:hanging="360" w:start="360" w:end="0"/>
        <w:jc w:val="start"/>
        <w:rPr>
          <w:sz w:val="22"/>
        </w:rPr>
      </w:pPr>
      <w:r>
        <w:rPr>
          <w:sz w:val="22"/>
        </w:rPr>
        <w:t>Responsible for business strategy and execution, operations, audit, customer service, and numerous banking systems for UOB’s retail branch network that provides both consumer and commercial banking products and services.</w:t>
      </w:r>
    </w:p>
    <w:p>
      <w:pPr>
        <w:pStyle w:val="BodyText"/>
        <w:numPr>
          <w:ilvl w:val="0"/>
          <w:numId w:val="2"/>
        </w:numPr>
        <w:tabs>
          <w:tab w:val="clear" w:pos="720"/>
        </w:tabs>
        <w:ind w:hanging="360" w:start="360" w:end="0"/>
        <w:jc w:val="start"/>
        <w:rPr>
          <w:sz w:val="22"/>
        </w:rPr>
      </w:pPr>
      <w:r>
        <w:rPr>
          <w:sz w:val="22"/>
        </w:rPr>
        <w:t xml:space="preserve">Major accomplishments included developing and executing a plan to integrate the Web with branches to transform the entire branch network.  This involved using the Internet as platform for nearly all banking activities and as a means of transforming branch sales, service, and operations.  </w:t>
      </w:r>
    </w:p>
    <w:p>
      <w:pPr>
        <w:pStyle w:val="BodyText"/>
        <w:numPr>
          <w:ilvl w:val="1"/>
          <w:numId w:val="2"/>
        </w:numPr>
        <w:tabs>
          <w:tab w:val="clear" w:pos="720"/>
        </w:tabs>
        <w:ind w:hanging="360" w:start="720" w:end="0"/>
        <w:jc w:val="start"/>
        <w:rPr>
          <w:sz w:val="22"/>
        </w:rPr>
      </w:pPr>
      <w:r>
        <w:rPr>
          <w:sz w:val="22"/>
        </w:rPr>
        <w:t>Laid groundwork to create massive value through developing sales and service focus and capability, while cutting costs and migrating 75 to 80 percent of all customers onto the Internet.  This also included the initialization of an extensive electronic customer relationship management system.</w:t>
      </w:r>
    </w:p>
    <w:p>
      <w:pPr>
        <w:pStyle w:val="Normal"/>
        <w:numPr>
          <w:ilvl w:val="0"/>
          <w:numId w:val="2"/>
        </w:numPr>
        <w:tabs>
          <w:tab w:val="clear" w:pos="720"/>
        </w:tabs>
        <w:ind w:hanging="360" w:start="360" w:end="0"/>
        <w:rPr>
          <w:rFonts w:ascii="Times New Roman" w:hAnsi="Times New Roman" w:cs="Times New Roman"/>
          <w:sz w:val="22"/>
        </w:rPr>
      </w:pPr>
      <w:r>
        <w:rPr>
          <w:rFonts w:cs="Times New Roman" w:ascii="Times New Roman" w:hAnsi="Times New Roman"/>
          <w:sz w:val="22"/>
        </w:rPr>
        <w:t xml:space="preserve">Played an integral role in conducting due diligence for two banks purchased, one in Thailand and one in the Philippines.  </w:t>
      </w:r>
    </w:p>
    <w:p>
      <w:pPr>
        <w:pStyle w:val="Normal"/>
        <w:numPr>
          <w:ilvl w:val="1"/>
          <w:numId w:val="2"/>
        </w:numPr>
        <w:tabs>
          <w:tab w:val="clear" w:pos="720"/>
        </w:tabs>
        <w:ind w:hanging="360" w:start="720" w:end="0"/>
        <w:rPr>
          <w:rFonts w:ascii="Times New Roman" w:hAnsi="Times New Roman" w:cs="Times New Roman"/>
          <w:sz w:val="22"/>
        </w:rPr>
      </w:pPr>
      <w:r>
        <w:rPr>
          <w:rFonts w:cs="Times New Roman" w:ascii="Times New Roman" w:hAnsi="Times New Roman"/>
          <w:sz w:val="22"/>
        </w:rPr>
        <w:t xml:space="preserve">This entailed putting together a transformation plan to lead both banks to profitability within 18 months.  The two banks were successfully purchased and are now generating greater value than expected.  </w:t>
      </w:r>
    </w:p>
    <w:p>
      <w:pPr>
        <w:pStyle w:val="Normal"/>
        <w:numPr>
          <w:ilvl w:val="0"/>
          <w:numId w:val="2"/>
        </w:numPr>
        <w:tabs>
          <w:tab w:val="clear" w:pos="720"/>
        </w:tabs>
        <w:ind w:hanging="360" w:start="360" w:end="0"/>
        <w:rPr>
          <w:rFonts w:ascii="Times New Roman" w:hAnsi="Times New Roman" w:cs="Times New Roman"/>
          <w:sz w:val="22"/>
        </w:rPr>
      </w:pPr>
      <w:r>
        <w:rPr>
          <w:rFonts w:cs="Times New Roman" w:ascii="Times New Roman" w:hAnsi="Times New Roman"/>
          <w:sz w:val="22"/>
        </w:rPr>
        <w:t xml:space="preserve">Developed transformation strategy for United Overseas Finance, UOB’s finance company that had been trading below net asset value.  As a result, the business was completely re-organized, $1.5 million in immediate annual cost reductions were realized and the company is now generating significantly greater profit.  </w:t>
      </w:r>
    </w:p>
    <w:p>
      <w:pPr>
        <w:pStyle w:val="Normal"/>
        <w:numPr>
          <w:ilvl w:val="0"/>
          <w:numId w:val="2"/>
        </w:numPr>
        <w:tabs>
          <w:tab w:val="clear" w:pos="720"/>
        </w:tabs>
        <w:ind w:hanging="360" w:start="360" w:end="0"/>
        <w:rPr>
          <w:rFonts w:ascii="Times New Roman" w:hAnsi="Times New Roman" w:cs="Times New Roman"/>
          <w:sz w:val="22"/>
        </w:rPr>
      </w:pPr>
      <w:r>
        <w:rPr>
          <w:rFonts w:cs="Times New Roman" w:ascii="Times New Roman" w:hAnsi="Times New Roman"/>
          <w:sz w:val="22"/>
        </w:rPr>
        <w:t xml:space="preserve">Re-organized both the operations and business focus of UOB’s banking activities in southern and northern Malaysia.  This resulted in net staff savings of over 25 percent, while growing dedicated sales staff by over 200 percent. </w:t>
      </w:r>
    </w:p>
    <w:p>
      <w:pPr>
        <w:pStyle w:val="Normal"/>
        <w:numPr>
          <w:ilvl w:val="0"/>
          <w:numId w:val="2"/>
        </w:numPr>
        <w:tabs>
          <w:tab w:val="clear" w:pos="720"/>
        </w:tabs>
        <w:ind w:hanging="360" w:start="360" w:end="0"/>
        <w:rPr>
          <w:rFonts w:ascii="Times New Roman" w:hAnsi="Times New Roman" w:cs="Times New Roman"/>
          <w:sz w:val="22"/>
        </w:rPr>
      </w:pPr>
      <w:r>
        <w:rPr>
          <w:rFonts w:cs="Times New Roman" w:ascii="Times New Roman" w:hAnsi="Times New Roman"/>
          <w:sz w:val="22"/>
        </w:rPr>
        <w:t xml:space="preserve">Served as the head of the UOB Group’s Cross Selling Committee and Channel Integration Task Force. </w:t>
      </w:r>
    </w:p>
    <w:p>
      <w:pPr>
        <w:pStyle w:val="Normal"/>
        <w:numPr>
          <w:ilvl w:val="0"/>
          <w:numId w:val="2"/>
        </w:numPr>
        <w:tabs>
          <w:tab w:val="clear" w:pos="720"/>
        </w:tabs>
        <w:ind w:hanging="360" w:start="360" w:end="0"/>
        <w:rPr>
          <w:rFonts w:ascii="Times New Roman" w:hAnsi="Times New Roman" w:cs="Times New Roman"/>
          <w:sz w:val="22"/>
        </w:rPr>
      </w:pPr>
      <w:r>
        <w:rPr>
          <w:rFonts w:cs="Times New Roman" w:ascii="Times New Roman" w:hAnsi="Times New Roman"/>
          <w:sz w:val="22"/>
        </w:rPr>
        <w:t>Promoted 3 times in four years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4"/>
        </w:rPr>
      </w:pPr>
      <w:r>
        <w:rPr>
          <w:rFonts w:cs="Times New Roman" w:ascii="Times New Roman" w:hAnsi="Times New Roman"/>
          <w:b/>
          <w:sz w:val="24"/>
        </w:rPr>
        <w:t>1993 - 1995</w:t>
      </w:r>
    </w:p>
    <w:p>
      <w:pPr>
        <w:pStyle w:val="Normal"/>
        <w:jc w:val="both"/>
        <w:rPr>
          <w:rFonts w:ascii="Times New Roman" w:hAnsi="Times New Roman" w:cs="Times New Roman"/>
          <w:b/>
          <w:sz w:val="24"/>
        </w:rPr>
      </w:pPr>
      <w:r>
        <w:rPr>
          <w:rFonts w:cs="Times New Roman" w:ascii="Times New Roman" w:hAnsi="Times New Roman"/>
          <w:b/>
          <w:sz w:val="24"/>
        </w:rPr>
        <w:t>A.T. KEARNEY</w:t>
      </w:r>
    </w:p>
    <w:p>
      <w:pPr>
        <w:pStyle w:val="Normal"/>
        <w:jc w:val="both"/>
        <w:rPr>
          <w:rFonts w:ascii="Times New Roman" w:hAnsi="Times New Roman" w:cs="Times New Roman"/>
          <w:sz w:val="24"/>
        </w:rPr>
      </w:pPr>
      <w:r>
        <w:rPr>
          <w:rFonts w:cs="Times New Roman" w:ascii="Times New Roman" w:hAnsi="Times New Roman"/>
          <w:sz w:val="24"/>
        </w:rPr>
        <w:t>Hong Kong, China</w:t>
      </w:r>
    </w:p>
    <w:p>
      <w:pPr>
        <w:pStyle w:val="Normal"/>
        <w:jc w:val="both"/>
        <w:rPr>
          <w:rFonts w:ascii="Times New Roman" w:hAnsi="Times New Roman" w:cs="Times New Roman"/>
          <w:sz w:val="22"/>
        </w:rPr>
      </w:pPr>
      <w:r>
        <w:rPr>
          <w:rFonts w:cs="Times New Roman" w:ascii="Times New Roman" w:hAnsi="Times New Roman"/>
          <w:b/>
          <w:sz w:val="24"/>
        </w:rPr>
        <w:t>Consultant</w:t>
      </w:r>
    </w:p>
    <w:p>
      <w:pPr>
        <w:pStyle w:val="BodyText"/>
        <w:numPr>
          <w:ilvl w:val="0"/>
          <w:numId w:val="2"/>
        </w:numPr>
        <w:tabs>
          <w:tab w:val="clear" w:pos="720"/>
        </w:tabs>
        <w:ind w:hanging="360" w:start="360" w:end="0"/>
        <w:jc w:val="start"/>
        <w:rPr>
          <w:sz w:val="22"/>
        </w:rPr>
      </w:pPr>
      <w:r>
        <w:rPr>
          <w:sz w:val="22"/>
        </w:rPr>
        <w:t xml:space="preserve">Performed a number of assignments, one of which entailed analyzing a variety of investment options in China for a US$ 500 million fund.  This included assessing the market situation and potential for new entrants into the automotive component parts industry in China.  </w:t>
      </w:r>
    </w:p>
    <w:p>
      <w:pPr>
        <w:pStyle w:val="BodyText"/>
        <w:numPr>
          <w:ilvl w:val="0"/>
          <w:numId w:val="2"/>
        </w:numPr>
        <w:tabs>
          <w:tab w:val="clear" w:pos="720"/>
        </w:tabs>
        <w:ind w:hanging="360" w:start="360" w:end="0"/>
        <w:jc w:val="start"/>
        <w:rPr>
          <w:sz w:val="22"/>
        </w:rPr>
      </w:pPr>
      <w:r>
        <w:rPr>
          <w:sz w:val="22"/>
        </w:rPr>
        <w:t>Conducted a market and management evaluation for investment in component parts factory.  The direct investment firm adopted the recommendations and used the re-organization plan as a stepping-stone to increase profitability.  This particular company, as of 1999, was 1 of the three (out of the 18 total investments) that realized a profit in China.</w:t>
      </w:r>
    </w:p>
    <w:p>
      <w:pPr>
        <w:pStyle w:val="Normal"/>
        <w:numPr>
          <w:ilvl w:val="0"/>
          <w:numId w:val="2"/>
        </w:numPr>
        <w:tabs>
          <w:tab w:val="clear" w:pos="720"/>
        </w:tabs>
        <w:ind w:hanging="360" w:start="360" w:end="0"/>
        <w:rPr>
          <w:rFonts w:ascii="Times New Roman" w:hAnsi="Times New Roman" w:cs="Times New Roman"/>
          <w:sz w:val="22"/>
        </w:rPr>
      </w:pPr>
      <w:r>
        <w:rPr>
          <w:rFonts w:cs="Times New Roman" w:ascii="Times New Roman" w:hAnsi="Times New Roman"/>
          <w:sz w:val="22"/>
        </w:rPr>
        <w:t>Performed strategy and process re-engineering study for a medium-sized bank in Malaysia.  An internal bank evaluation and external market and industry assessment was performed to create a new corporate strategy.  The assignment also included process re-engineering of some of the bank’s key operational processes.  The recommendations were adopted and have since been implemented.</w:t>
      </w:r>
    </w:p>
    <w:p>
      <w:pPr>
        <w:pStyle w:val="Normal"/>
        <w:numPr>
          <w:ilvl w:val="0"/>
          <w:numId w:val="2"/>
        </w:numPr>
        <w:tabs>
          <w:tab w:val="clear" w:pos="720"/>
        </w:tabs>
        <w:ind w:hanging="360" w:start="360" w:end="0"/>
        <w:rPr>
          <w:rFonts w:ascii="Times New Roman" w:hAnsi="Times New Roman" w:cs="Times New Roman"/>
          <w:sz w:val="22"/>
        </w:rPr>
      </w:pPr>
      <w:r>
        <w:rPr>
          <w:rFonts w:cs="Times New Roman" w:ascii="Times New Roman" w:hAnsi="Times New Roman"/>
          <w:sz w:val="22"/>
        </w:rPr>
        <w:t>Developed a market entry strategy for the development of a PCN telecommunications license bid in Hong Kong.  This involved identifying the most profitable segments, distribution options, and critical success factors.  The PCN license bid was successful.</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4"/>
        </w:rPr>
      </w:pPr>
      <w:r>
        <w:rPr>
          <w:rFonts w:cs="Times New Roman" w:ascii="Times New Roman" w:hAnsi="Times New Roman"/>
          <w:b/>
          <w:sz w:val="24"/>
        </w:rPr>
        <w:t>Summer 1991</w:t>
      </w:r>
    </w:p>
    <w:p>
      <w:pPr>
        <w:pStyle w:val="Normal"/>
        <w:jc w:val="both"/>
        <w:rPr>
          <w:rFonts w:ascii="Times New Roman" w:hAnsi="Times New Roman" w:cs="Times New Roman"/>
          <w:b/>
          <w:sz w:val="24"/>
        </w:rPr>
      </w:pPr>
      <w:r>
        <w:rPr>
          <w:rFonts w:cs="Times New Roman" w:ascii="Times New Roman" w:hAnsi="Times New Roman"/>
          <w:b/>
          <w:sz w:val="24"/>
        </w:rPr>
        <w:t>BOOZ, ALLEN &amp; HAMILTON</w:t>
      </w:r>
    </w:p>
    <w:p>
      <w:pPr>
        <w:pStyle w:val="Normal"/>
        <w:jc w:val="both"/>
        <w:rPr>
          <w:rFonts w:ascii="Times New Roman" w:hAnsi="Times New Roman" w:cs="Times New Roman"/>
          <w:sz w:val="24"/>
        </w:rPr>
      </w:pPr>
      <w:r>
        <w:rPr>
          <w:rFonts w:cs="Times New Roman" w:ascii="Times New Roman" w:hAnsi="Times New Roman"/>
          <w:sz w:val="24"/>
        </w:rPr>
        <w:t>Singapore and Indonesia</w:t>
      </w:r>
    </w:p>
    <w:p>
      <w:pPr>
        <w:pStyle w:val="Normal"/>
        <w:jc w:val="both"/>
        <w:rPr>
          <w:rFonts w:ascii="Times New Roman" w:hAnsi="Times New Roman" w:cs="Times New Roman"/>
          <w:sz w:val="22"/>
        </w:rPr>
      </w:pPr>
      <w:r>
        <w:rPr>
          <w:rFonts w:cs="Times New Roman" w:ascii="Times New Roman" w:hAnsi="Times New Roman"/>
          <w:b/>
          <w:sz w:val="24"/>
        </w:rPr>
        <w:t>Consultant</w:t>
      </w:r>
    </w:p>
    <w:p>
      <w:pPr>
        <w:pStyle w:val="Normal"/>
        <w:numPr>
          <w:ilvl w:val="0"/>
          <w:numId w:val="2"/>
        </w:numPr>
        <w:tabs>
          <w:tab w:val="clear" w:pos="720"/>
        </w:tabs>
        <w:ind w:hanging="360" w:start="360" w:end="0"/>
        <w:rPr>
          <w:rFonts w:ascii="Times New Roman" w:hAnsi="Times New Roman" w:cs="Times New Roman"/>
          <w:sz w:val="22"/>
        </w:rPr>
      </w:pPr>
      <w:r>
        <w:rPr>
          <w:rFonts w:cs="Times New Roman" w:ascii="Times New Roman" w:hAnsi="Times New Roman"/>
          <w:sz w:val="22"/>
        </w:rPr>
        <w:t>Chosen for one of the 5 summer associate positions in all the consulting firms in Asia, while at the University of Chicago.</w:t>
      </w:r>
    </w:p>
    <w:p>
      <w:pPr>
        <w:pStyle w:val="Normal"/>
        <w:numPr>
          <w:ilvl w:val="0"/>
          <w:numId w:val="2"/>
        </w:numPr>
        <w:tabs>
          <w:tab w:val="clear" w:pos="720"/>
        </w:tabs>
        <w:ind w:hanging="360" w:start="360" w:end="0"/>
        <w:rPr>
          <w:rFonts w:ascii="Times New Roman" w:hAnsi="Times New Roman" w:cs="Times New Roman"/>
          <w:sz w:val="22"/>
        </w:rPr>
      </w:pPr>
      <w:r>
        <w:rPr>
          <w:rFonts w:cs="Times New Roman" w:ascii="Times New Roman" w:hAnsi="Times New Roman"/>
          <w:sz w:val="22"/>
        </w:rPr>
        <w:t>Worked with a US$ 1 billion Indonesian consumer products firm to evaluate the tracking of product through their distribution network and put forth recommendations on how to improve it.  Discovered that over 29,000 pieces of product were unaccounted for in one particular week.  The recommendations put forth were accepted and resulted in modifying the monitoring process, so that such a situation could be avoided in the future.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4"/>
        </w:rPr>
      </w:pPr>
      <w:r>
        <w:rPr>
          <w:rFonts w:cs="Times New Roman" w:ascii="Times New Roman" w:hAnsi="Times New Roman"/>
          <w:b/>
          <w:sz w:val="24"/>
        </w:rPr>
        <w:t>1989 - 1990</w:t>
      </w:r>
    </w:p>
    <w:p>
      <w:pPr>
        <w:pStyle w:val="Normal"/>
        <w:jc w:val="both"/>
        <w:rPr>
          <w:rFonts w:ascii="Times New Roman" w:hAnsi="Times New Roman" w:cs="Times New Roman"/>
          <w:b/>
          <w:sz w:val="24"/>
        </w:rPr>
      </w:pPr>
      <w:r>
        <w:rPr>
          <w:rFonts w:cs="Times New Roman" w:ascii="Times New Roman" w:hAnsi="Times New Roman"/>
          <w:b/>
          <w:sz w:val="24"/>
        </w:rPr>
        <w:t>MASTERCARD INTERNATIONAL</w:t>
      </w:r>
    </w:p>
    <w:p>
      <w:pPr>
        <w:pStyle w:val="Normal"/>
        <w:jc w:val="both"/>
        <w:rPr>
          <w:rFonts w:ascii="Times New Roman" w:hAnsi="Times New Roman" w:cs="Times New Roman"/>
          <w:sz w:val="24"/>
        </w:rPr>
      </w:pPr>
      <w:r>
        <w:rPr>
          <w:rFonts w:cs="Times New Roman" w:ascii="Times New Roman" w:hAnsi="Times New Roman"/>
          <w:sz w:val="24"/>
        </w:rPr>
        <w:t>New York, New York, USA</w:t>
      </w:r>
    </w:p>
    <w:p>
      <w:pPr>
        <w:pStyle w:val="Normal"/>
        <w:jc w:val="both"/>
        <w:rPr>
          <w:rFonts w:ascii="Times New Roman" w:hAnsi="Times New Roman" w:cs="Times New Roman"/>
          <w:sz w:val="22"/>
        </w:rPr>
      </w:pPr>
      <w:r>
        <w:rPr>
          <w:rFonts w:cs="Times New Roman" w:ascii="Times New Roman" w:hAnsi="Times New Roman"/>
          <w:b/>
          <w:sz w:val="24"/>
        </w:rPr>
        <w:t>Manager, Asia Pacific Region</w:t>
      </w:r>
    </w:p>
    <w:p>
      <w:pPr>
        <w:pStyle w:val="BodyText2"/>
        <w:numPr>
          <w:ilvl w:val="0"/>
          <w:numId w:val="2"/>
        </w:numPr>
        <w:tabs>
          <w:tab w:val="clear" w:pos="720"/>
        </w:tabs>
        <w:ind w:hanging="360" w:start="360" w:end="0"/>
        <w:jc w:val="start"/>
        <w:rPr/>
      </w:pPr>
      <w:r>
        <w:rPr/>
        <w:t xml:space="preserve">Worked for the former President of MasterCard Asia Pacific, which was a time of great change in MasterCard, as the company attempted to transform itself from a U.S. focused company into a global organization.  </w:t>
      </w:r>
    </w:p>
    <w:p>
      <w:pPr>
        <w:pStyle w:val="BodyText2"/>
        <w:numPr>
          <w:ilvl w:val="0"/>
          <w:numId w:val="2"/>
        </w:numPr>
        <w:tabs>
          <w:tab w:val="clear" w:pos="720"/>
        </w:tabs>
        <w:ind w:hanging="360" w:start="360" w:end="0"/>
        <w:jc w:val="start"/>
        <w:rPr/>
      </w:pPr>
      <w:r>
        <w:rPr/>
        <w:t xml:space="preserve">Responsible for coordinating the activities between MasterCard’s four Asia offices and its world headquarters in New York.  This required serving as an agent of change - ensuring that head office staff appreciated the unique requirements of Asia when it came to dealing with marketing, operations, legal, and administrative issues.  </w:t>
      </w:r>
    </w:p>
    <w:p>
      <w:pPr>
        <w:pStyle w:val="BodyText2"/>
        <w:numPr>
          <w:ilvl w:val="0"/>
          <w:numId w:val="2"/>
        </w:numPr>
        <w:tabs>
          <w:tab w:val="clear" w:pos="720"/>
        </w:tabs>
        <w:ind w:hanging="360" w:start="360" w:end="0"/>
        <w:jc w:val="start"/>
        <w:rPr/>
      </w:pPr>
      <w:r>
        <w:rPr/>
        <w:t>Responsible for pro-actively putting up a strategy paper on the Taiwan market, which resulted in MasterCard taking a more aggressive approach to opportunities there.  Unlike before, Taiwan now represents one of MasterCard’s most important Asia Pacific countries in terms of cards issued and revenue generation.</w:t>
      </w:r>
    </w:p>
    <w:p>
      <w:pPr>
        <w:pStyle w:val="Normal"/>
        <w:jc w:val="both"/>
        <w:rPr>
          <w:rFonts w:ascii="Times New Roman" w:hAnsi="Times New Roman" w:cs="Times New Roman"/>
          <w:sz w:val="22"/>
        </w:rPr>
      </w:pPr>
      <w:r>
        <w:rPr>
          <w:rFonts w:cs="Times New Roman" w:ascii="Times New Roman" w:hAnsi="Times New Roman"/>
          <w:sz w:val="22"/>
        </w:rPr>
      </w:r>
      <w:r>
        <w:br w:type="page"/>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4"/>
        </w:rPr>
      </w:pPr>
      <w:r>
        <w:rPr>
          <w:rFonts w:cs="Times New Roman" w:ascii="Times New Roman" w:hAnsi="Times New Roman"/>
          <w:b/>
          <w:sz w:val="24"/>
        </w:rPr>
        <w:t>1987 - 1989</w:t>
      </w:r>
    </w:p>
    <w:p>
      <w:pPr>
        <w:pStyle w:val="Normal"/>
        <w:jc w:val="both"/>
        <w:rPr>
          <w:rFonts w:ascii="Times New Roman" w:hAnsi="Times New Roman" w:cs="Times New Roman"/>
          <w:b/>
          <w:sz w:val="24"/>
        </w:rPr>
      </w:pPr>
      <w:r>
        <w:rPr>
          <w:rFonts w:cs="Times New Roman" w:ascii="Times New Roman" w:hAnsi="Times New Roman"/>
          <w:b/>
          <w:sz w:val="24"/>
        </w:rPr>
        <w:t>JARDINE MATHESON &amp; CO. (JM&amp;CO.)</w:t>
      </w:r>
    </w:p>
    <w:p>
      <w:pPr>
        <w:pStyle w:val="Normal"/>
        <w:jc w:val="both"/>
        <w:rPr>
          <w:rFonts w:ascii="Times New Roman" w:hAnsi="Times New Roman" w:cs="Times New Roman"/>
          <w:sz w:val="24"/>
        </w:rPr>
      </w:pPr>
      <w:r>
        <w:rPr>
          <w:rFonts w:cs="Times New Roman" w:ascii="Times New Roman" w:hAnsi="Times New Roman"/>
          <w:sz w:val="24"/>
        </w:rPr>
        <w:t>Hong Kong, China</w:t>
      </w:r>
    </w:p>
    <w:p>
      <w:pPr>
        <w:pStyle w:val="Normal"/>
        <w:jc w:val="both"/>
        <w:rPr>
          <w:rFonts w:ascii="Times New Roman" w:hAnsi="Times New Roman" w:cs="Times New Roman"/>
          <w:sz w:val="22"/>
        </w:rPr>
      </w:pPr>
      <w:r>
        <w:rPr>
          <w:rFonts w:cs="Times New Roman" w:ascii="Times New Roman" w:hAnsi="Times New Roman"/>
          <w:b/>
          <w:sz w:val="24"/>
        </w:rPr>
        <w:t>International Executive</w:t>
      </w:r>
    </w:p>
    <w:p>
      <w:pPr>
        <w:pStyle w:val="Normal"/>
        <w:numPr>
          <w:ilvl w:val="0"/>
          <w:numId w:val="2"/>
        </w:numPr>
        <w:tabs>
          <w:tab w:val="clear" w:pos="720"/>
        </w:tabs>
        <w:ind w:hanging="360" w:start="360" w:end="0"/>
        <w:rPr>
          <w:rFonts w:ascii="Times New Roman" w:hAnsi="Times New Roman" w:cs="Times New Roman"/>
          <w:sz w:val="22"/>
        </w:rPr>
      </w:pPr>
      <w:r>
        <w:rPr>
          <w:rFonts w:cs="Times New Roman" w:ascii="Times New Roman" w:hAnsi="Times New Roman"/>
          <w:sz w:val="22"/>
        </w:rPr>
        <w:t>Conducted two main assignments.  First, assessed the strengths of one of the Group’s engineering companies and then analyzed Taiwan’s needs, in order to find expansion opportunities that had not yet been realized.  Recommendations for a planned presence were adopted, which included the identification of potential joint venture partners.</w:t>
      </w:r>
    </w:p>
    <w:p>
      <w:pPr>
        <w:pStyle w:val="Normal"/>
        <w:numPr>
          <w:ilvl w:val="0"/>
          <w:numId w:val="2"/>
        </w:numPr>
        <w:tabs>
          <w:tab w:val="clear" w:pos="720"/>
        </w:tabs>
        <w:ind w:hanging="360" w:start="360" w:end="0"/>
        <w:rPr>
          <w:rFonts w:ascii="Times New Roman" w:hAnsi="Times New Roman" w:cs="Times New Roman"/>
          <w:sz w:val="22"/>
        </w:rPr>
      </w:pPr>
      <w:r>
        <w:rPr>
          <w:rFonts w:cs="Times New Roman" w:ascii="Times New Roman" w:hAnsi="Times New Roman"/>
          <w:sz w:val="22"/>
        </w:rPr>
        <w:t xml:space="preserve">Second, devised and implemented sales and marketing strategies for telecommunications equipment (PABX) sales into Hong Kong and Mainland China.  Completely revised the sales approach to appreciate the unique needs of customers.  This change resulted in marked growth in equipment sales.  Responsible for leading the team that won JM&amp;Co’s largest telecommunications sales contract in China.  </w:t>
      </w:r>
    </w:p>
    <w:p>
      <w:pPr>
        <w:pStyle w:val="Normal"/>
        <w:jc w:val="both"/>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ind w:firstLine="360" w:start="-360" w:end="0"/>
        <w:rPr/>
      </w:pPr>
      <w:r>
        <w:rPr>
          <w:rFonts w:cs="Times New Roman" w:ascii="Times New Roman" w:hAnsi="Times New Roman"/>
          <w:b/>
          <w:sz w:val="22"/>
        </w:rPr>
        <w:t>EDUCATION:</w:t>
      </w:r>
      <w:r>
        <w:rPr>
          <w:rFonts w:cs="Times New Roman" w:ascii="Times New Roman" w:hAnsi="Times New Roman"/>
          <w:sz w:val="22"/>
        </w:rPr>
        <w:t xml:space="preserve"> </w:t>
        <w:tab/>
        <w:t>University of Chicago, MBA, 1992 (honors)</w:t>
      </w:r>
    </w:p>
    <w:p>
      <w:pPr>
        <w:pStyle w:val="Heading2"/>
        <w:rPr>
          <w:sz w:val="22"/>
        </w:rPr>
      </w:pPr>
      <w:r>
        <w:rPr>
          <w:sz w:val="22"/>
        </w:rPr>
        <w:tab/>
        <w:tab/>
        <w:tab/>
        <w:t>University of Chicago, MA in East Asia Studies, 1993 (scholarship)</w:t>
      </w:r>
    </w:p>
    <w:p>
      <w:pPr>
        <w:pStyle w:val="Normal"/>
        <w:rPr>
          <w:rFonts w:ascii="Times New Roman" w:hAnsi="Times New Roman" w:cs="Times New Roman"/>
          <w:sz w:val="22"/>
        </w:rPr>
      </w:pPr>
      <w:r>
        <w:rPr>
          <w:rFonts w:cs="Times New Roman" w:ascii="Times New Roman" w:hAnsi="Times New Roman"/>
          <w:sz w:val="22"/>
        </w:rPr>
        <w:tab/>
        <w:tab/>
        <w:tab/>
        <w:t>University of California - Berkeley, BA (economics), 1986</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sectPr>
      <w:type w:val="nextPage"/>
      <w:pgSz w:w="12240" w:h="15840"/>
      <w:pgMar w:left="1138" w:right="1138"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ans Serif" w:hAnsi="MS Sans Serif"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ind w:firstLine="360" w:start="-360" w:end="0"/>
      <w:outlineLvl w:val="1"/>
    </w:pPr>
    <w:rPr>
      <w:rFonts w:ascii="Times New Roman" w:hAnsi="Times New Roman" w:cs="Times New Roman"/>
      <w:bCs/>
      <w:sz w:val="24"/>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 w:hAnsi="Times New Roman" w:cs="Times New Roman"/>
      <w:b/>
      <w:sz w:val="28"/>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 New Roman" w:hAnsi="Times New Roman" w:cs="Times New Roman"/>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2000-10-29T02:28:00Z</dcterms:created>
  <dc:creator>Brad Good</dc:creator>
  <dc:description/>
  <dc:language>en-CA</dc:language>
  <cp:lastModifiedBy>Brad</cp:lastModifiedBy>
  <cp:lastPrinted>2000-11-15T11:54:00Z</cp:lastPrinted>
  <dcterms:modified xsi:type="dcterms:W3CDTF">2000-11-15T02:12:00Z</dcterms:modified>
  <cp:revision>30</cp:revision>
  <dc:subject/>
  <dc:title>BRAD GOOD</dc:title>
</cp:coreProperties>
</file>