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before="120" w:after="0"/>
        <w:ind w:hanging="0" w:end="0"/>
        <w:jc w:val="start"/>
        <w:rPr>
          <w:rFonts w:ascii="Times New Roman" w:hAnsi="Times New Roman" w:cs="Times New Roman"/>
          <w:b/>
          <w:bCs/>
          <w:sz w:val="28"/>
        </w:rPr>
      </w:pPr>
      <w:r>
        <w:rPr>
          <w:rFonts w:cs="Times New Roman" w:ascii="Times New Roman" w:hAnsi="Times New Roman"/>
          <w:b/>
          <w:bCs/>
          <w:sz w:val="28"/>
        </w:rPr>
        <w:t>Bowater</w:t>
      </w:r>
    </w:p>
    <w:p>
      <w:pPr>
        <w:pStyle w:val="BodyTextIndent"/>
        <w:spacing w:before="120" w:after="0"/>
        <w:ind w:hanging="0" w:end="0"/>
        <w:jc w:val="start"/>
        <w:rPr/>
      </w:pPr>
      <w:r>
        <w:rPr/>
        <w:t>Who is Bowater?</w:t>
      </w:r>
    </w:p>
    <w:tbl>
      <w:tblPr>
        <w:tblW w:w="10116" w:type="dxa"/>
        <w:jc w:val="start"/>
        <w:tblInd w:w="0" w:type="dxa"/>
        <w:tblLayout w:type="fixed"/>
        <w:tblCellMar>
          <w:top w:w="0" w:type="dxa"/>
          <w:start w:w="108" w:type="dxa"/>
          <w:bottom w:w="0" w:type="dxa"/>
          <w:end w:w="108" w:type="dxa"/>
        </w:tblCellMar>
      </w:tblPr>
      <w:tblGrid>
        <w:gridCol w:w="5238"/>
        <w:gridCol w:w="4878"/>
      </w:tblGrid>
      <w:tr>
        <w:trPr/>
        <w:tc>
          <w:tcPr>
            <w:tcW w:w="5238" w:type="dxa"/>
            <w:tcBorders/>
          </w:tcPr>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Location</w:t>
            </w:r>
          </w:p>
        </w:tc>
        <w:tc>
          <w:tcPr>
            <w:tcW w:w="48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Greenville, South Carolina</w:t>
            </w:r>
          </w:p>
        </w:tc>
      </w:tr>
      <w:tr>
        <w:trPr/>
        <w:tc>
          <w:tcPr>
            <w:tcW w:w="5238" w:type="dxa"/>
            <w:tcBorders/>
          </w:tcPr>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Product Lines</w:t>
              <w:br/>
            </w:r>
          </w:p>
        </w:tc>
        <w:tc>
          <w:tcPr>
            <w:tcW w:w="48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Newsprint, coated and uncoated groundwood papers, market pulp and lumber products</w:t>
            </w:r>
          </w:p>
        </w:tc>
      </w:tr>
      <w:tr>
        <w:trPr/>
        <w:tc>
          <w:tcPr>
            <w:tcW w:w="5238" w:type="dxa"/>
            <w:tcBorders/>
          </w:tcPr>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Annual Production Capacity</w:t>
              <w:br/>
              <w:t>- Annual Allowable Cut (Canada)</w:t>
              <w:br/>
              <w:t>- Sawmills (3)</w:t>
              <w:br/>
              <w:t>- Pulp Mills (9)</w:t>
              <w:br/>
              <w:t xml:space="preserve">         Market Pulp mills (3)</w:t>
              <w:br/>
              <w:t xml:space="preserve">         Paper Mills (9)</w:t>
            </w:r>
          </w:p>
        </w:tc>
        <w:tc>
          <w:tcPr>
            <w:tcW w:w="48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br/>
              <w:t xml:space="preserve">14.1 million acres </w:t>
              <w:br/>
              <w:t>288 million board feet</w:t>
              <w:br/>
              <w:t>4.74 million metric tons</w:t>
              <w:br/>
              <w:t xml:space="preserve"> 987,500 metric tons </w:t>
              <w:br/>
              <w:t>3.77 million metric tons</w:t>
            </w:r>
          </w:p>
        </w:tc>
      </w:tr>
      <w:tr>
        <w:trPr/>
        <w:tc>
          <w:tcPr>
            <w:tcW w:w="5238" w:type="dxa"/>
            <w:tcBorders/>
          </w:tcPr>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 xml:space="preserve">2000 Sales ($ millions) </w:t>
              <w:br/>
              <w:t>- Newsprint</w:t>
              <w:br/>
              <w:t>- Coated groundwood</w:t>
              <w:br/>
              <w:t>- Market Pulp</w:t>
              <w:br/>
              <w:t>- Uncoated groundwood specialties</w:t>
              <w:br/>
              <w:t>- Lumber and other wood products</w:t>
            </w:r>
          </w:p>
          <w:p>
            <w:pPr>
              <w:pStyle w:val="BodyTextIndent"/>
              <w:spacing w:before="120" w:after="0"/>
              <w:ind w:hanging="0" w:start="360" w:end="0"/>
              <w:jc w:val="start"/>
              <w:rPr>
                <w:rFonts w:ascii="Times New Roman" w:hAnsi="Times New Roman" w:cs="Times New Roman"/>
              </w:rPr>
            </w:pPr>
            <w:r>
              <w:rPr>
                <w:rFonts w:cs="Times New Roman" w:ascii="Times New Roman" w:hAnsi="Times New Roman"/>
              </w:rPr>
            </w:r>
          </w:p>
        </w:tc>
        <w:tc>
          <w:tcPr>
            <w:tcW w:w="4878" w:type="dxa"/>
            <w:tcBorders/>
          </w:tcPr>
          <w:p>
            <w:pPr>
              <w:pStyle w:val="BodyTextIndent"/>
              <w:tabs>
                <w:tab w:val="clear" w:pos="5130"/>
                <w:tab w:val="clear" w:pos="10530"/>
                <w:tab w:val="right" w:pos="1602" w:leader="none"/>
                <w:tab w:val="left" w:pos="3042" w:leader="none"/>
                <w:tab w:val="right" w:pos="4478" w:leader="none"/>
              </w:tabs>
              <w:spacing w:before="120" w:after="0"/>
              <w:ind w:hanging="0" w:end="0"/>
              <w:jc w:val="start"/>
              <w:rPr/>
            </w:pPr>
            <w:r>
              <w:rPr>
                <w:rFonts w:cs="Times New Roman" w:ascii="Times New Roman" w:hAnsi="Times New Roman"/>
                <w:u w:val="single"/>
              </w:rPr>
              <w:t>$ 2,500.3</w:t>
            </w:r>
            <w:r>
              <w:rPr>
                <w:rFonts w:cs="Times New Roman" w:ascii="Times New Roman" w:hAnsi="Times New Roman"/>
              </w:rPr>
              <w:t xml:space="preserve">                 </w:t>
            </w:r>
            <w:r>
              <w:rPr>
                <w:rFonts w:cs="Times New Roman" w:ascii="Times New Roman" w:hAnsi="Times New Roman"/>
                <w:u w:val="single"/>
              </w:rPr>
              <w:t>Percent of Sales</w:t>
            </w:r>
            <w:r>
              <w:rPr>
                <w:rFonts w:cs="Times New Roman" w:ascii="Times New Roman" w:hAnsi="Times New Roman"/>
              </w:rPr>
              <w:br/>
              <w:t>$ 1,421.5                       57%</w:t>
              <w:br/>
              <w:t>$    330.3                       13</w:t>
              <w:br/>
              <w:t>$    546.3                       22</w:t>
              <w:br/>
              <w:t>$      98.1                         4</w:t>
              <w:br/>
              <w:t>$    104.1                         4</w:t>
            </w:r>
          </w:p>
        </w:tc>
      </w:tr>
      <w:tr>
        <w:trPr/>
        <w:tc>
          <w:tcPr>
            <w:tcW w:w="5238" w:type="dxa"/>
            <w:tcBorders/>
          </w:tcPr>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Gross Margin ($ millions)</w:t>
            </w:r>
          </w:p>
        </w:tc>
        <w:tc>
          <w:tcPr>
            <w:tcW w:w="48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950.4</w:t>
            </w:r>
          </w:p>
        </w:tc>
      </w:tr>
      <w:tr>
        <w:trPr/>
        <w:tc>
          <w:tcPr>
            <w:tcW w:w="5238" w:type="dxa"/>
            <w:tcBorders/>
          </w:tcPr>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 xml:space="preserve">2000 Net Income ($ millions) </w:t>
            </w:r>
          </w:p>
        </w:tc>
        <w:tc>
          <w:tcPr>
            <w:tcW w:w="48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xml:space="preserve">$    159.4 </w:t>
            </w:r>
          </w:p>
        </w:tc>
      </w:tr>
      <w:tr>
        <w:trPr/>
        <w:tc>
          <w:tcPr>
            <w:tcW w:w="5238" w:type="dxa"/>
            <w:tcBorders/>
          </w:tcPr>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2000 Assets ($ millions)</w:t>
            </w:r>
          </w:p>
        </w:tc>
        <w:tc>
          <w:tcPr>
            <w:tcW w:w="48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$ 5,004.1</w:t>
            </w:r>
          </w:p>
        </w:tc>
      </w:tr>
      <w:tr>
        <w:trPr/>
        <w:tc>
          <w:tcPr>
            <w:tcW w:w="5238" w:type="dxa"/>
            <w:tcBorders/>
          </w:tcPr>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2000 Long Term Debt ($ millions)</w:t>
            </w:r>
          </w:p>
        </w:tc>
        <w:tc>
          <w:tcPr>
            <w:tcW w:w="48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$ 1,304.7</w:t>
            </w:r>
          </w:p>
        </w:tc>
      </w:tr>
      <w:tr>
        <w:trPr/>
        <w:tc>
          <w:tcPr>
            <w:tcW w:w="5238" w:type="dxa"/>
            <w:tcBorders/>
          </w:tcPr>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Number of Employees</w:t>
            </w:r>
          </w:p>
        </w:tc>
        <w:tc>
          <w:tcPr>
            <w:tcW w:w="48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6,400</w:t>
            </w:r>
          </w:p>
        </w:tc>
      </w:tr>
      <w:tr>
        <w:trPr/>
        <w:tc>
          <w:tcPr>
            <w:tcW w:w="5238" w:type="dxa"/>
            <w:tcBorders/>
          </w:tcPr>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Markets</w:t>
            </w:r>
          </w:p>
        </w:tc>
        <w:tc>
          <w:tcPr>
            <w:tcW w:w="48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North America and Export</w:t>
              <w:br/>
              <w:t>- US                  69%</w:t>
              <w:br/>
              <w:t>- Canada             8</w:t>
              <w:br/>
              <w:t>- Far East            7</w:t>
              <w:br/>
              <w:t>- Europe              4</w:t>
              <w:br/>
              <w:t>- Brazil                2</w:t>
              <w:br/>
              <w:t>- Mexico             3</w:t>
              <w:br/>
              <w:t>- Other                7</w:t>
            </w:r>
          </w:p>
        </w:tc>
      </w:tr>
    </w:tbl>
    <w:p>
      <w:pPr>
        <w:pStyle w:val="BodyTextIndent"/>
        <w:spacing w:before="120" w:after="0"/>
        <w:ind w:hanging="0" w:end="0"/>
        <w:jc w:val="start"/>
        <w:rPr>
          <w:rFonts w:ascii="Times New Roman" w:hAnsi="Times New Roman" w:cs="Times New Roman"/>
        </w:rPr>
      </w:pPr>
      <w:r>
        <w:br w:type="page"/>
      </w:r>
      <w:r>
        <w:rPr>
          <w:rFonts w:cs="Times New Roman" w:ascii="Times New Roman" w:hAnsi="Times New Roman"/>
          <w:b/>
          <w:bCs/>
        </w:rPr>
        <w:t>Operations</w:t>
      </w:r>
      <w:r>
        <w:rPr>
          <w:rStyle w:val="FootnoteCharacters"/>
          <w:rStyle w:val="FootnoteReference"/>
          <w:rFonts w:cs="Times New Roman" w:ascii="Times New Roman" w:hAnsi="Times New Roman"/>
          <w:b/>
          <w:bCs/>
        </w:rPr>
        <w:footnoteReference w:id="2"/>
      </w:r>
    </w:p>
    <w:p>
      <w:pPr>
        <w:pStyle w:val="BodyTextIndent"/>
        <w:tabs>
          <w:tab w:val="clear" w:pos="5130"/>
          <w:tab w:val="clear" w:pos="10530"/>
        </w:tabs>
        <w:spacing w:before="120" w:after="120"/>
        <w:ind w:hanging="0" w:end="0"/>
        <w:jc w:val="start"/>
        <w:rPr/>
      </w:pPr>
      <w:r>
        <w:rPr>
          <w:rFonts w:cs="Times New Roman" w:ascii="Times New Roman" w:hAnsi="Times New Roman"/>
          <w:b/>
          <w:bCs/>
          <w:i/>
          <w:iCs/>
        </w:rPr>
        <w:t xml:space="preserve">Forest Resources.  </w:t>
      </w:r>
      <w:r>
        <w:rPr/>
        <w:t>Bowater leases, possesses or possesses cutting rights on approxomately 16 million acres of timberlands in the United States and Canada.  These areas are concentrated in Ontario and Quebec, Canada.   In 2000, the company’s production from these areas was as follows :</w:t>
      </w:r>
    </w:p>
    <w:tbl>
      <w:tblPr>
        <w:tblW w:w="8208" w:type="dxa"/>
        <w:jc w:val="start"/>
        <w:tblInd w:w="0" w:type="dxa"/>
        <w:tblLayout w:type="fixed"/>
        <w:tblCellMar>
          <w:top w:w="0" w:type="dxa"/>
          <w:start w:w="108" w:type="dxa"/>
          <w:bottom w:w="0" w:type="dxa"/>
          <w:end w:w="108" w:type="dxa"/>
        </w:tblCellMar>
      </w:tblPr>
      <w:tblGrid>
        <w:gridCol w:w="4518"/>
        <w:gridCol w:w="3690"/>
      </w:tblGrid>
      <w:tr>
        <w:trPr/>
        <w:tc>
          <w:tcPr>
            <w:tcW w:w="4518" w:type="dxa"/>
            <w:tcBorders/>
          </w:tcPr>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Total Log Harvestation</w:t>
            </w:r>
          </w:p>
        </w:tc>
        <w:tc>
          <w:tcPr>
            <w:tcW w:w="3690"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Millions of Tons</w:t>
            </w:r>
          </w:p>
        </w:tc>
      </w:tr>
      <w:tr>
        <w:trPr/>
        <w:tc>
          <w:tcPr>
            <w:tcW w:w="451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Owned/Leased Properties</w:t>
            </w:r>
          </w:p>
        </w:tc>
        <w:tc>
          <w:tcPr>
            <w:tcW w:w="3690"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2.3</w:t>
            </w:r>
          </w:p>
        </w:tc>
      </w:tr>
      <w:tr>
        <w:trPr/>
        <w:tc>
          <w:tcPr>
            <w:tcW w:w="451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Cutting Rights from Canadian Government</w:t>
            </w:r>
          </w:p>
        </w:tc>
        <w:tc>
          <w:tcPr>
            <w:tcW w:w="3690"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2.8</w:t>
            </w:r>
          </w:p>
        </w:tc>
      </w:tr>
      <w:tr>
        <w:trPr/>
        <w:tc>
          <w:tcPr>
            <w:tcW w:w="451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Purchased from Local Producers, Private Landowners and Sawmills</w:t>
            </w:r>
          </w:p>
        </w:tc>
        <w:tc>
          <w:tcPr>
            <w:tcW w:w="3690" w:type="dxa"/>
            <w:tcBorders/>
          </w:tcPr>
          <w:p>
            <w:pPr>
              <w:pStyle w:val="BodyTextIndent"/>
              <w:spacing w:before="120" w:after="0"/>
              <w:ind w:hanging="0" w:end="0"/>
              <w:jc w:val="end"/>
              <w:rPr>
                <w:rFonts w:ascii="Times New Roman" w:hAnsi="Times New Roman" w:cs="Times New Roman"/>
                <w:u w:val="single"/>
              </w:rPr>
            </w:pPr>
            <w:r>
              <w:rPr>
                <w:rFonts w:cs="Times New Roman" w:ascii="Times New Roman" w:hAnsi="Times New Roman"/>
                <w:u w:val="single"/>
              </w:rPr>
              <w:br/>
              <w:t xml:space="preserve">7.4                                </w:t>
            </w:r>
          </w:p>
        </w:tc>
      </w:tr>
      <w:tr>
        <w:trPr/>
        <w:tc>
          <w:tcPr>
            <w:tcW w:w="451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Total Wood Consumption</w:t>
            </w:r>
          </w:p>
        </w:tc>
        <w:tc>
          <w:tcPr>
            <w:tcW w:w="3690"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12.5</w:t>
            </w:r>
          </w:p>
        </w:tc>
      </w:tr>
      <w:tr>
        <w:trPr/>
        <w:tc>
          <w:tcPr>
            <w:tcW w:w="451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xml:space="preserve">Total Wood Sold </w:t>
            </w:r>
          </w:p>
        </w:tc>
        <w:tc>
          <w:tcPr>
            <w:tcW w:w="3690"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2.2</w:t>
            </w:r>
          </w:p>
        </w:tc>
      </w:tr>
    </w:tbl>
    <w:p>
      <w:pPr>
        <w:pStyle w:val="BodyTextIndent"/>
        <w:tabs>
          <w:tab w:val="clear" w:pos="5130"/>
          <w:tab w:val="clear" w:pos="10530"/>
        </w:tabs>
        <w:spacing w:before="240" w:after="0"/>
        <w:ind w:hanging="0" w:end="0"/>
        <w:jc w:val="start"/>
        <w:rPr/>
      </w:pPr>
      <w:r>
        <w:rPr>
          <w:rFonts w:cs="Times New Roman" w:ascii="Times New Roman" w:hAnsi="Times New Roman"/>
          <w:b/>
          <w:bCs/>
          <w:i/>
          <w:iCs/>
        </w:rPr>
        <w:t xml:space="preserve">Newsprint and Uncoated Groundwood Facilities.  </w:t>
      </w:r>
      <w:r>
        <w:rPr/>
        <w:t xml:space="preserve"> The company’s capacity and production for each of its facilities in 2000 follows; an asterisk indicates that the facility also has recycling capacity:</w:t>
      </w:r>
    </w:p>
    <w:tbl>
      <w:tblPr>
        <w:tblW w:w="10124" w:type="dxa"/>
        <w:jc w:val="start"/>
        <w:tblInd w:w="0" w:type="dxa"/>
        <w:tblLayout w:type="fixed"/>
        <w:tblCellMar>
          <w:top w:w="0" w:type="dxa"/>
          <w:start w:w="108" w:type="dxa"/>
          <w:bottom w:w="0" w:type="dxa"/>
          <w:end w:w="108" w:type="dxa"/>
        </w:tblCellMar>
      </w:tblPr>
      <w:tblGrid>
        <w:gridCol w:w="2050"/>
        <w:gridCol w:w="2399"/>
        <w:gridCol w:w="2859"/>
        <w:gridCol w:w="1440"/>
        <w:gridCol w:w="1376"/>
      </w:tblGrid>
      <w:tr>
        <w:trPr/>
        <w:tc>
          <w:tcPr>
            <w:tcW w:w="2050" w:type="dxa"/>
            <w:tcBorders/>
          </w:tcPr>
          <w:p>
            <w:pPr>
              <w:pStyle w:val="BodyTextIndent"/>
              <w:spacing w:before="0" w:after="0"/>
              <w:ind w:hanging="0" w:end="0"/>
              <w:jc w:val="start"/>
              <w:rPr>
                <w:rFonts w:ascii="Times New Roman" w:hAnsi="Times New Roman" w:cs="Times New Roman"/>
                <w:b/>
                <w:bCs/>
              </w:rPr>
            </w:pPr>
            <w:r>
              <w:rPr>
                <w:rFonts w:cs="Times New Roman" w:ascii="Times New Roman" w:hAnsi="Times New Roman"/>
                <w:b/>
                <w:bCs/>
              </w:rPr>
              <w:t>Location</w:t>
            </w:r>
          </w:p>
        </w:tc>
        <w:tc>
          <w:tcPr>
            <w:tcW w:w="2399" w:type="dxa"/>
            <w:tcBorders/>
          </w:tcPr>
          <w:p>
            <w:pPr>
              <w:pStyle w:val="BodyTextIndent"/>
              <w:snapToGrid w:val="false"/>
              <w:spacing w:before="0" w:after="0"/>
              <w:ind w:hanging="0" w:end="0"/>
              <w:jc w:val="start"/>
              <w:rPr>
                <w:rFonts w:ascii="Times New Roman" w:hAnsi="Times New Roman" w:cs="Times New Roman"/>
                <w:b/>
                <w:bCs/>
              </w:rPr>
            </w:pPr>
            <w:r>
              <w:rPr>
                <w:rFonts w:cs="Times New Roman" w:ascii="Times New Roman" w:hAnsi="Times New Roman"/>
                <w:b/>
                <w:bCs/>
              </w:rPr>
            </w:r>
          </w:p>
        </w:tc>
        <w:tc>
          <w:tcPr>
            <w:tcW w:w="2859" w:type="dxa"/>
            <w:tcBorders/>
          </w:tcPr>
          <w:p>
            <w:pPr>
              <w:pStyle w:val="BodyTextIndent"/>
              <w:spacing w:before="0" w:after="0"/>
              <w:ind w:hanging="0" w:end="0"/>
              <w:jc w:val="start"/>
              <w:rPr>
                <w:rFonts w:ascii="Times New Roman" w:hAnsi="Times New Roman" w:cs="Times New Roman"/>
                <w:b/>
                <w:bCs/>
              </w:rPr>
            </w:pPr>
            <w:r>
              <w:rPr>
                <w:rFonts w:cs="Times New Roman" w:ascii="Times New Roman" w:hAnsi="Times New Roman"/>
                <w:b/>
                <w:bCs/>
              </w:rPr>
              <w:t>Ownership</w:t>
            </w:r>
            <w:r>
              <w:rPr>
                <w:rStyle w:val="FootnoteCharacters"/>
                <w:rStyle w:val="FootnoteReference"/>
                <w:rFonts w:cs="Times New Roman" w:ascii="Times New Roman" w:hAnsi="Times New Roman"/>
                <w:b/>
                <w:bCs/>
              </w:rPr>
              <w:footnoteReference w:id="3"/>
            </w:r>
          </w:p>
        </w:tc>
        <w:tc>
          <w:tcPr>
            <w:tcW w:w="1440" w:type="dxa"/>
            <w:tcBorders/>
            <w:vAlign w:val="bottom"/>
          </w:tcPr>
          <w:p>
            <w:pPr>
              <w:pStyle w:val="BodyTextIndent"/>
              <w:spacing w:before="0" w:after="0"/>
              <w:ind w:hanging="0" w:end="0"/>
              <w:jc w:val="end"/>
              <w:rPr>
                <w:rFonts w:ascii="Times New Roman" w:hAnsi="Times New Roman" w:cs="Times New Roman"/>
                <w:b/>
                <w:bCs/>
              </w:rPr>
            </w:pPr>
            <w:r>
              <w:rPr>
                <w:rFonts w:cs="Times New Roman" w:ascii="Times New Roman" w:hAnsi="Times New Roman"/>
                <w:b/>
                <w:bCs/>
              </w:rPr>
              <w:t>Capacity</w:t>
            </w:r>
          </w:p>
          <w:p>
            <w:pPr>
              <w:pStyle w:val="BodyTextIndent"/>
              <w:spacing w:before="0" w:after="0"/>
              <w:ind w:hanging="0" w:end="0"/>
              <w:jc w:val="end"/>
              <w:rPr>
                <w:rFonts w:ascii="Times New Roman" w:hAnsi="Times New Roman" w:cs="Times New Roman"/>
              </w:rPr>
            </w:pPr>
            <w:r>
              <w:rPr>
                <w:rFonts w:cs="Times New Roman" w:ascii="Times New Roman" w:hAnsi="Times New Roman"/>
              </w:rPr>
              <w:t>(short tons)</w:t>
            </w:r>
          </w:p>
        </w:tc>
        <w:tc>
          <w:tcPr>
            <w:tcW w:w="1376" w:type="dxa"/>
            <w:tcBorders/>
          </w:tcPr>
          <w:p>
            <w:pPr>
              <w:pStyle w:val="BodyTextIndent"/>
              <w:spacing w:before="0" w:after="0"/>
              <w:ind w:hanging="0" w:end="0"/>
              <w:jc w:val="end"/>
              <w:rPr>
                <w:rFonts w:ascii="Times New Roman" w:hAnsi="Times New Roman" w:cs="Times New Roman"/>
                <w:b/>
                <w:bCs/>
              </w:rPr>
            </w:pPr>
            <w:r>
              <w:rPr>
                <w:rFonts w:cs="Times New Roman" w:ascii="Times New Roman" w:hAnsi="Times New Roman"/>
                <w:b/>
                <w:bCs/>
              </w:rPr>
              <w:t>Production</w:t>
            </w:r>
          </w:p>
          <w:p>
            <w:pPr>
              <w:pStyle w:val="BodyTextIndent"/>
              <w:spacing w:before="0" w:after="0"/>
              <w:ind w:hanging="0" w:end="0"/>
              <w:jc w:val="end"/>
              <w:rPr>
                <w:rFonts w:ascii="Times New Roman" w:hAnsi="Times New Roman" w:cs="Times New Roman"/>
              </w:rPr>
            </w:pPr>
            <w:r>
              <w:rPr>
                <w:rFonts w:cs="Times New Roman" w:ascii="Times New Roman" w:hAnsi="Times New Roman"/>
              </w:rPr>
              <w:t>(short tons)</w:t>
            </w:r>
          </w:p>
        </w:tc>
      </w:tr>
      <w:tr>
        <w:trPr/>
        <w:tc>
          <w:tcPr>
            <w:tcW w:w="205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Calhoun*</w:t>
            </w:r>
          </w:p>
        </w:tc>
        <w:tc>
          <w:tcPr>
            <w:tcW w:w="2399"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Tennessee</w:t>
            </w:r>
          </w:p>
        </w:tc>
        <w:tc>
          <w:tcPr>
            <w:tcW w:w="2859"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51% Bowater</w:t>
            </w:r>
          </w:p>
          <w:p>
            <w:pPr>
              <w:pStyle w:val="BodyTextIndent"/>
              <w:spacing w:before="120" w:after="0"/>
              <w:ind w:hanging="0" w:end="0"/>
              <w:jc w:val="start"/>
              <w:rPr>
                <w:rFonts w:ascii="Times New Roman" w:hAnsi="Times New Roman" w:cs="Times New Roman"/>
              </w:rPr>
            </w:pPr>
            <w:r>
              <w:rPr>
                <w:rFonts w:cs="Times New Roman" w:ascii="Times New Roman" w:hAnsi="Times New Roman"/>
              </w:rPr>
              <w:t>49 % New House Co.</w:t>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853,500</w:t>
            </w:r>
          </w:p>
        </w:tc>
        <w:tc>
          <w:tcPr>
            <w:tcW w:w="1376"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p>
            <w:pPr>
              <w:pStyle w:val="BodyTextIndent"/>
              <w:spacing w:before="120" w:after="0"/>
              <w:ind w:hanging="0" w:end="0"/>
              <w:jc w:val="end"/>
              <w:rPr>
                <w:rFonts w:ascii="Times New Roman" w:hAnsi="Times New Roman" w:cs="Times New Roman"/>
              </w:rPr>
            </w:pPr>
            <w:r>
              <w:rPr>
                <w:rFonts w:cs="Times New Roman" w:ascii="Times New Roman" w:hAnsi="Times New Roman"/>
              </w:rPr>
              <w:t>826,671</w:t>
            </w:r>
          </w:p>
        </w:tc>
      </w:tr>
      <w:tr>
        <w:trPr/>
        <w:tc>
          <w:tcPr>
            <w:tcW w:w="205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Catawba</w:t>
            </w:r>
          </w:p>
        </w:tc>
        <w:tc>
          <w:tcPr>
            <w:tcW w:w="2399"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South Carolina</w:t>
            </w:r>
          </w:p>
        </w:tc>
        <w:tc>
          <w:tcPr>
            <w:tcW w:w="285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272,500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263,787</w:t>
            </w:r>
          </w:p>
        </w:tc>
      </w:tr>
      <w:tr>
        <w:trPr/>
        <w:tc>
          <w:tcPr>
            <w:tcW w:w="205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Liverpool</w:t>
            </w:r>
          </w:p>
        </w:tc>
        <w:tc>
          <w:tcPr>
            <w:tcW w:w="2399"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Nova Scotia</w:t>
            </w:r>
          </w:p>
        </w:tc>
        <w:tc>
          <w:tcPr>
            <w:tcW w:w="2859"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51% Bowater</w:t>
            </w:r>
          </w:p>
          <w:p>
            <w:pPr>
              <w:pStyle w:val="BodyTextIndent"/>
              <w:spacing w:before="120" w:after="0"/>
              <w:ind w:hanging="0" w:end="0"/>
              <w:jc w:val="start"/>
              <w:rPr>
                <w:rFonts w:ascii="Times New Roman" w:hAnsi="Times New Roman" w:cs="Times New Roman"/>
              </w:rPr>
            </w:pPr>
            <w:r>
              <w:rPr>
                <w:rFonts w:cs="Times New Roman" w:ascii="Times New Roman" w:hAnsi="Times New Roman"/>
              </w:rPr>
              <w:t>49% Washington Post  Co.</w:t>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277,000</w:t>
            </w:r>
          </w:p>
        </w:tc>
        <w:tc>
          <w:tcPr>
            <w:tcW w:w="1376"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p>
            <w:pPr>
              <w:pStyle w:val="BodyTextIndent"/>
              <w:spacing w:before="120" w:after="0"/>
              <w:ind w:hanging="0" w:end="0"/>
              <w:jc w:val="end"/>
              <w:rPr>
                <w:rFonts w:ascii="Times New Roman" w:hAnsi="Times New Roman" w:cs="Times New Roman"/>
              </w:rPr>
            </w:pPr>
            <w:r>
              <w:rPr>
                <w:rFonts w:cs="Times New Roman" w:ascii="Times New Roman" w:hAnsi="Times New Roman"/>
              </w:rPr>
              <w:t>255,729</w:t>
            </w:r>
          </w:p>
        </w:tc>
      </w:tr>
      <w:tr>
        <w:trPr/>
        <w:tc>
          <w:tcPr>
            <w:tcW w:w="205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Grenada</w:t>
            </w:r>
          </w:p>
        </w:tc>
        <w:tc>
          <w:tcPr>
            <w:tcW w:w="2399"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Mississippi</w:t>
            </w:r>
          </w:p>
        </w:tc>
        <w:tc>
          <w:tcPr>
            <w:tcW w:w="285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268,900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115,654</w:t>
            </w:r>
          </w:p>
        </w:tc>
      </w:tr>
      <w:tr>
        <w:trPr/>
        <w:tc>
          <w:tcPr>
            <w:tcW w:w="205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Thunder Bay*</w:t>
            </w:r>
          </w:p>
        </w:tc>
        <w:tc>
          <w:tcPr>
            <w:tcW w:w="2399"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Ontario</w:t>
            </w:r>
          </w:p>
        </w:tc>
        <w:tc>
          <w:tcPr>
            <w:tcW w:w="285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624,800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591,513</w:t>
            </w:r>
          </w:p>
        </w:tc>
      </w:tr>
      <w:tr>
        <w:trPr/>
        <w:tc>
          <w:tcPr>
            <w:tcW w:w="205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Gatineau*</w:t>
            </w:r>
          </w:p>
        </w:tc>
        <w:tc>
          <w:tcPr>
            <w:tcW w:w="2399"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Quebec</w:t>
            </w:r>
          </w:p>
        </w:tc>
        <w:tc>
          <w:tcPr>
            <w:tcW w:w="285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571,000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490,038</w:t>
            </w:r>
          </w:p>
        </w:tc>
      </w:tr>
      <w:tr>
        <w:trPr/>
        <w:tc>
          <w:tcPr>
            <w:tcW w:w="2050"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Dalhousie</w:t>
            </w:r>
          </w:p>
        </w:tc>
        <w:tc>
          <w:tcPr>
            <w:tcW w:w="2399"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New Brunswick</w:t>
            </w:r>
          </w:p>
        </w:tc>
        <w:tc>
          <w:tcPr>
            <w:tcW w:w="2859"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67% Bowater</w:t>
            </w:r>
          </w:p>
          <w:p>
            <w:pPr>
              <w:pStyle w:val="BodyTextIndent"/>
              <w:spacing w:before="120" w:after="0"/>
              <w:ind w:hanging="0" w:end="0"/>
              <w:jc w:val="start"/>
              <w:rPr>
                <w:rFonts w:ascii="Times New Roman" w:hAnsi="Times New Roman" w:cs="Times New Roman"/>
              </w:rPr>
            </w:pPr>
            <w:r>
              <w:rPr>
                <w:rFonts w:cs="Times New Roman" w:ascii="Times New Roman" w:hAnsi="Times New Roman"/>
              </w:rPr>
              <w:t>25% Oji Paper Co.</w:t>
            </w:r>
          </w:p>
          <w:p>
            <w:pPr>
              <w:pStyle w:val="BodyTextIndent"/>
              <w:spacing w:before="120" w:after="0"/>
              <w:ind w:hanging="0" w:end="0"/>
              <w:jc w:val="star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 Mitsui Paper Co.</w:t>
            </w:r>
          </w:p>
        </w:tc>
        <w:tc>
          <w:tcPr>
            <w:tcW w:w="1440"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263,000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259,821</w:t>
            </w:r>
          </w:p>
        </w:tc>
      </w:tr>
      <w:tr>
        <w:trPr/>
        <w:tc>
          <w:tcPr>
            <w:tcW w:w="205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Usk*</w:t>
            </w:r>
          </w:p>
        </w:tc>
        <w:tc>
          <w:tcPr>
            <w:tcW w:w="2399"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Washington</w:t>
            </w:r>
          </w:p>
        </w:tc>
        <w:tc>
          <w:tcPr>
            <w:tcW w:w="2859"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40% Bowater</w:t>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279,000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274,370</w:t>
            </w:r>
          </w:p>
        </w:tc>
      </w:tr>
      <w:tr>
        <w:trPr/>
        <w:tc>
          <w:tcPr>
            <w:tcW w:w="205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Mokpo*</w:t>
            </w:r>
          </w:p>
        </w:tc>
        <w:tc>
          <w:tcPr>
            <w:tcW w:w="2399"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South Korea</w:t>
            </w:r>
          </w:p>
        </w:tc>
        <w:tc>
          <w:tcPr>
            <w:tcW w:w="285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303,800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270,077</w:t>
            </w:r>
          </w:p>
        </w:tc>
      </w:tr>
    </w:tbl>
    <w:p>
      <w:pPr>
        <w:pStyle w:val="BodyTextIndent"/>
        <w:spacing w:before="120" w:after="120"/>
        <w:ind w:hanging="0" w:end="0"/>
        <w:jc w:val="start"/>
        <w:rPr/>
      </w:pPr>
      <w:r>
        <w:rPr>
          <w:rFonts w:cs="Times New Roman" w:ascii="Times New Roman" w:hAnsi="Times New Roman"/>
          <w:b/>
          <w:bCs/>
          <w:i/>
          <w:iCs/>
        </w:rPr>
        <w:t xml:space="preserve">Coated Groundwood Paper.  </w:t>
      </w:r>
      <w:r>
        <w:rPr/>
        <w:t>The company’s capacity and production for each of its coated groundwood paper facilities in 2000 is as follows (short tons):</w:t>
      </w:r>
    </w:p>
    <w:tbl>
      <w:tblPr>
        <w:tblW w:w="8619" w:type="dxa"/>
        <w:jc w:val="start"/>
        <w:tblInd w:w="0" w:type="dxa"/>
        <w:tblLayout w:type="fixed"/>
        <w:tblCellMar>
          <w:top w:w="0" w:type="dxa"/>
          <w:start w:w="108" w:type="dxa"/>
          <w:bottom w:w="0" w:type="dxa"/>
          <w:end w:w="108" w:type="dxa"/>
        </w:tblCellMar>
      </w:tblPr>
      <w:tblGrid>
        <w:gridCol w:w="2337"/>
        <w:gridCol w:w="2706"/>
        <w:gridCol w:w="1757"/>
        <w:gridCol w:w="1819"/>
      </w:tblGrid>
      <w:tr>
        <w:trPr/>
        <w:tc>
          <w:tcPr>
            <w:tcW w:w="2337" w:type="dxa"/>
            <w:tcBorders/>
          </w:tcPr>
          <w:p>
            <w:pPr>
              <w:pStyle w:val="BodyTextIndent"/>
              <w:spacing w:before="0" w:after="0"/>
              <w:ind w:hanging="0" w:end="0"/>
              <w:jc w:val="start"/>
              <w:rPr>
                <w:rFonts w:ascii="Times New Roman" w:hAnsi="Times New Roman" w:cs="Times New Roman"/>
                <w:b/>
                <w:bCs/>
              </w:rPr>
            </w:pPr>
            <w:r>
              <w:rPr>
                <w:rFonts w:cs="Times New Roman" w:ascii="Times New Roman" w:hAnsi="Times New Roman"/>
                <w:b/>
                <w:bCs/>
              </w:rPr>
              <w:t>Location</w:t>
            </w:r>
          </w:p>
        </w:tc>
        <w:tc>
          <w:tcPr>
            <w:tcW w:w="2706" w:type="dxa"/>
            <w:tcBorders/>
            <w:vAlign w:val="bottom"/>
          </w:tcPr>
          <w:p>
            <w:pPr>
              <w:pStyle w:val="BodyTextIndent"/>
              <w:snapToGrid w:val="false"/>
              <w:spacing w:before="0" w:after="0"/>
              <w:ind w:hanging="0" w:end="0"/>
              <w:jc w:val="start"/>
              <w:rPr>
                <w:rFonts w:ascii="Times New Roman" w:hAnsi="Times New Roman" w:cs="Times New Roman"/>
                <w:b/>
                <w:bCs/>
              </w:rPr>
            </w:pPr>
            <w:r>
              <w:rPr>
                <w:rFonts w:cs="Times New Roman" w:ascii="Times New Roman" w:hAnsi="Times New Roman"/>
                <w:b/>
                <w:bCs/>
              </w:rPr>
            </w:r>
          </w:p>
        </w:tc>
        <w:tc>
          <w:tcPr>
            <w:tcW w:w="1757" w:type="dxa"/>
            <w:tcBorders/>
            <w:vAlign w:val="bottom"/>
          </w:tcPr>
          <w:p>
            <w:pPr>
              <w:pStyle w:val="BodyTextIndent"/>
              <w:spacing w:before="0" w:after="0"/>
              <w:ind w:hanging="0" w:end="0"/>
              <w:jc w:val="end"/>
              <w:rPr>
                <w:rFonts w:ascii="Times New Roman" w:hAnsi="Times New Roman" w:cs="Times New Roman"/>
              </w:rPr>
            </w:pPr>
            <w:r>
              <w:rPr>
                <w:rFonts w:cs="Times New Roman" w:ascii="Times New Roman" w:hAnsi="Times New Roman"/>
                <w:b/>
                <w:bCs/>
              </w:rPr>
              <w:t>Capacity</w:t>
            </w:r>
          </w:p>
        </w:tc>
        <w:tc>
          <w:tcPr>
            <w:tcW w:w="1819" w:type="dxa"/>
            <w:tcBorders/>
          </w:tcPr>
          <w:p>
            <w:pPr>
              <w:pStyle w:val="BodyTextIndent"/>
              <w:spacing w:before="0" w:after="0"/>
              <w:ind w:hanging="0" w:end="0"/>
              <w:jc w:val="end"/>
              <w:rPr>
                <w:rFonts w:ascii="Times New Roman" w:hAnsi="Times New Roman" w:cs="Times New Roman"/>
              </w:rPr>
            </w:pPr>
            <w:r>
              <w:rPr>
                <w:rFonts w:cs="Times New Roman" w:ascii="Times New Roman" w:hAnsi="Times New Roman"/>
                <w:b/>
                <w:bCs/>
              </w:rPr>
              <w:t>Production</w:t>
            </w:r>
          </w:p>
        </w:tc>
      </w:tr>
      <w:tr>
        <w:trPr/>
        <w:tc>
          <w:tcPr>
            <w:tcW w:w="2337"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Catawba</w:t>
            </w:r>
          </w:p>
        </w:tc>
        <w:tc>
          <w:tcPr>
            <w:tcW w:w="2706"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South Carolina</w:t>
            </w:r>
          </w:p>
        </w:tc>
        <w:tc>
          <w:tcPr>
            <w:tcW w:w="1757"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358,000</w:t>
            </w:r>
          </w:p>
        </w:tc>
        <w:tc>
          <w:tcPr>
            <w:tcW w:w="181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355,441</w:t>
            </w:r>
          </w:p>
        </w:tc>
      </w:tr>
      <w:tr>
        <w:trPr/>
        <w:tc>
          <w:tcPr>
            <w:tcW w:w="2337"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Benton Harbor</w:t>
            </w:r>
            <w:r>
              <w:rPr>
                <w:rFonts w:cs="Times New Roman" w:ascii="Times New Roman" w:hAnsi="Times New Roman"/>
                <w:vertAlign w:val="superscript"/>
              </w:rPr>
              <w:t>*</w:t>
            </w:r>
          </w:p>
        </w:tc>
        <w:tc>
          <w:tcPr>
            <w:tcW w:w="2706"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Michigan</w:t>
            </w:r>
          </w:p>
        </w:tc>
        <w:tc>
          <w:tcPr>
            <w:tcW w:w="1757"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60,000</w:t>
            </w:r>
          </w:p>
        </w:tc>
        <w:tc>
          <w:tcPr>
            <w:tcW w:w="181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43,987</w:t>
            </w:r>
          </w:p>
        </w:tc>
      </w:tr>
      <w:tr>
        <w:trPr/>
        <w:tc>
          <w:tcPr>
            <w:tcW w:w="2337"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 xml:space="preserve">*  coating facility </w:t>
            </w:r>
          </w:p>
        </w:tc>
        <w:tc>
          <w:tcPr>
            <w:tcW w:w="2706" w:type="dxa"/>
            <w:tcBorders/>
            <w:vAlign w:val="bottom"/>
          </w:tcPr>
          <w:p>
            <w:pPr>
              <w:pStyle w:val="BodyTextIndent"/>
              <w:snapToGrid w:val="false"/>
              <w:spacing w:before="120" w:after="0"/>
              <w:ind w:hanging="0" w:end="0"/>
              <w:jc w:val="start"/>
              <w:rPr>
                <w:rFonts w:ascii="Times New Roman" w:hAnsi="Times New Roman" w:cs="Times New Roman"/>
              </w:rPr>
            </w:pPr>
            <w:r>
              <w:rPr>
                <w:rFonts w:cs="Times New Roman" w:ascii="Times New Roman" w:hAnsi="Times New Roman"/>
              </w:rPr>
            </w:r>
          </w:p>
        </w:tc>
        <w:tc>
          <w:tcPr>
            <w:tcW w:w="1757" w:type="dxa"/>
            <w:tcBorders/>
            <w:vAlign w:val="bottom"/>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81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r>
    </w:tbl>
    <w:p>
      <w:pPr>
        <w:pStyle w:val="BodyTextIndent"/>
        <w:spacing w:before="240" w:after="0"/>
        <w:ind w:hanging="0" w:end="0"/>
        <w:jc w:val="start"/>
        <w:rPr>
          <w:rFonts w:ascii="Times New Roman" w:hAnsi="Times New Roman" w:cs="Times New Roman"/>
          <w:b/>
          <w:bCs/>
          <w:i/>
          <w:i/>
          <w:iCs/>
        </w:rPr>
      </w:pPr>
      <w:r>
        <w:rPr>
          <w:rFonts w:cs="Times New Roman" w:ascii="Times New Roman" w:hAnsi="Times New Roman"/>
          <w:b/>
          <w:bCs/>
          <w:i/>
          <w:iCs/>
        </w:rPr>
        <w:t>Market Pulp.  The company’capacity and production for market pulp in 2000 follows (in short tons):</w:t>
      </w:r>
    </w:p>
    <w:tbl>
      <w:tblPr>
        <w:tblW w:w="10124" w:type="dxa"/>
        <w:jc w:val="start"/>
        <w:tblInd w:w="0" w:type="dxa"/>
        <w:tblLayout w:type="fixed"/>
        <w:tblCellMar>
          <w:top w:w="0" w:type="dxa"/>
          <w:start w:w="108" w:type="dxa"/>
          <w:bottom w:w="0" w:type="dxa"/>
          <w:end w:w="108" w:type="dxa"/>
        </w:tblCellMar>
      </w:tblPr>
      <w:tblGrid>
        <w:gridCol w:w="2334"/>
        <w:gridCol w:w="2718"/>
        <w:gridCol w:w="2256"/>
        <w:gridCol w:w="1440"/>
        <w:gridCol w:w="1376"/>
      </w:tblGrid>
      <w:tr>
        <w:trPr/>
        <w:tc>
          <w:tcPr>
            <w:tcW w:w="2334" w:type="dxa"/>
            <w:tcBorders/>
            <w:vAlign w:val="bottom"/>
          </w:tcPr>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Location</w:t>
            </w:r>
          </w:p>
        </w:tc>
        <w:tc>
          <w:tcPr>
            <w:tcW w:w="2718" w:type="dxa"/>
            <w:tcBorders/>
            <w:vAlign w:val="bottom"/>
          </w:tcPr>
          <w:p>
            <w:pPr>
              <w:pStyle w:val="BodyTextIndent"/>
              <w:snapToGrid w:val="false"/>
              <w:spacing w:before="120" w:after="0"/>
              <w:ind w:hanging="0" w:end="0"/>
              <w:jc w:val="start"/>
              <w:rPr>
                <w:rFonts w:ascii="Times New Roman" w:hAnsi="Times New Roman" w:cs="Times New Roman"/>
                <w:b/>
                <w:bCs/>
              </w:rPr>
            </w:pPr>
            <w:r>
              <w:rPr>
                <w:rFonts w:cs="Times New Roman" w:ascii="Times New Roman" w:hAnsi="Times New Roman"/>
                <w:b/>
                <w:bCs/>
              </w:rPr>
            </w:r>
          </w:p>
        </w:tc>
        <w:tc>
          <w:tcPr>
            <w:tcW w:w="2256" w:type="dxa"/>
            <w:tcBorders/>
          </w:tcPr>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Ownership</w:t>
            </w:r>
          </w:p>
        </w:tc>
        <w:tc>
          <w:tcPr>
            <w:tcW w:w="1440" w:type="dxa"/>
            <w:tcBorders/>
            <w:vAlign w:val="bottom"/>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Capacity</w:t>
            </w:r>
          </w:p>
        </w:tc>
        <w:tc>
          <w:tcPr>
            <w:tcW w:w="1376"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Production</w:t>
            </w:r>
          </w:p>
        </w:tc>
      </w:tr>
      <w:tr>
        <w:trPr/>
        <w:tc>
          <w:tcPr>
            <w:tcW w:w="2334"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Catawba</w:t>
            </w:r>
          </w:p>
        </w:tc>
        <w:tc>
          <w:tcPr>
            <w:tcW w:w="2718"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South Carolina</w:t>
            </w:r>
          </w:p>
        </w:tc>
        <w:tc>
          <w:tcPr>
            <w:tcW w:w="2256"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269,500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259,046</w:t>
            </w:r>
          </w:p>
        </w:tc>
      </w:tr>
      <w:tr>
        <w:trPr/>
        <w:tc>
          <w:tcPr>
            <w:tcW w:w="2334"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Calhoun</w:t>
            </w:r>
          </w:p>
        </w:tc>
        <w:tc>
          <w:tcPr>
            <w:tcW w:w="271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Tennessee</w:t>
            </w:r>
          </w:p>
        </w:tc>
        <w:tc>
          <w:tcPr>
            <w:tcW w:w="2256" w:type="dxa"/>
            <w:tcBorders/>
          </w:tcPr>
          <w:p>
            <w:pPr>
              <w:pStyle w:val="BodyTextIndent"/>
              <w:snapToGrid w:val="false"/>
              <w:spacing w:before="120" w:after="0"/>
              <w:ind w:hanging="0" w:end="0"/>
              <w:jc w:val="start"/>
              <w:rPr>
                <w:rFonts w:ascii="Times New Roman" w:hAnsi="Times New Roman" w:cs="Times New Roman"/>
              </w:rPr>
            </w:pPr>
            <w:r>
              <w:rPr>
                <w:rFonts w:cs="Times New Roman" w:ascii="Times New Roman" w:hAnsi="Times New Roman"/>
              </w:rPr>
            </w:r>
          </w:p>
        </w:tc>
        <w:tc>
          <w:tcPr>
            <w:tcW w:w="1440"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219,000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200,707</w:t>
            </w:r>
          </w:p>
        </w:tc>
      </w:tr>
      <w:tr>
        <w:trPr/>
        <w:tc>
          <w:tcPr>
            <w:tcW w:w="2334"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Thunder Bay</w:t>
            </w:r>
          </w:p>
        </w:tc>
        <w:tc>
          <w:tcPr>
            <w:tcW w:w="2718"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Ontario</w:t>
            </w:r>
          </w:p>
        </w:tc>
        <w:tc>
          <w:tcPr>
            <w:tcW w:w="2256"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600,000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596,062</w:t>
            </w:r>
          </w:p>
        </w:tc>
      </w:tr>
    </w:tbl>
    <w:p>
      <w:pPr>
        <w:pStyle w:val="BodyTextIndent"/>
        <w:spacing w:before="240" w:after="0"/>
        <w:ind w:hanging="0" w:end="0"/>
        <w:jc w:val="start"/>
        <w:rPr>
          <w:rFonts w:ascii="Times New Roman" w:hAnsi="Times New Roman" w:cs="Times New Roman"/>
          <w:b/>
          <w:bCs/>
          <w:i/>
          <w:i/>
          <w:iCs/>
        </w:rPr>
      </w:pPr>
      <w:r>
        <w:rPr>
          <w:rFonts w:cs="Times New Roman" w:ascii="Times New Roman" w:hAnsi="Times New Roman"/>
          <w:b/>
          <w:bCs/>
          <w:i/>
          <w:iCs/>
        </w:rPr>
        <w:t>Forest Products.   Capacity and production for each of Bowater’s forest products facilities in 2000 is as follows (thousands of board feet):</w:t>
      </w:r>
    </w:p>
    <w:tbl>
      <w:tblPr>
        <w:tblW w:w="10016" w:type="dxa"/>
        <w:jc w:val="end"/>
        <w:tblInd w:w="0" w:type="dxa"/>
        <w:tblLayout w:type="fixed"/>
        <w:tblCellMar>
          <w:top w:w="0" w:type="dxa"/>
          <w:start w:w="108" w:type="dxa"/>
          <w:bottom w:w="0" w:type="dxa"/>
          <w:end w:w="108" w:type="dxa"/>
        </w:tblCellMar>
      </w:tblPr>
      <w:tblGrid>
        <w:gridCol w:w="2160"/>
        <w:gridCol w:w="2880"/>
        <w:gridCol w:w="2160"/>
        <w:gridCol w:w="1440"/>
        <w:gridCol w:w="1376"/>
      </w:tblGrid>
      <w:tr>
        <w:trPr/>
        <w:tc>
          <w:tcPr>
            <w:tcW w:w="2160" w:type="dxa"/>
            <w:tcBorders/>
            <w:vAlign w:val="bottom"/>
          </w:tcPr>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Location</w:t>
            </w:r>
          </w:p>
        </w:tc>
        <w:tc>
          <w:tcPr>
            <w:tcW w:w="2880" w:type="dxa"/>
            <w:tcBorders/>
            <w:vAlign w:val="bottom"/>
          </w:tcPr>
          <w:p>
            <w:pPr>
              <w:pStyle w:val="BodyTextIndent"/>
              <w:snapToGrid w:val="false"/>
              <w:spacing w:before="120" w:after="0"/>
              <w:ind w:hanging="0" w:end="0"/>
              <w:jc w:val="start"/>
              <w:rPr>
                <w:rFonts w:ascii="Times New Roman" w:hAnsi="Times New Roman" w:cs="Times New Roman"/>
                <w:b/>
                <w:bCs/>
              </w:rPr>
            </w:pPr>
            <w:r>
              <w:rPr>
                <w:rFonts w:cs="Times New Roman" w:ascii="Times New Roman" w:hAnsi="Times New Roman"/>
                <w:b/>
                <w:bCs/>
              </w:rPr>
            </w:r>
          </w:p>
        </w:tc>
        <w:tc>
          <w:tcPr>
            <w:tcW w:w="2160" w:type="dxa"/>
            <w:tcBorders/>
          </w:tcPr>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Ownership</w:t>
            </w:r>
          </w:p>
        </w:tc>
        <w:tc>
          <w:tcPr>
            <w:tcW w:w="1440" w:type="dxa"/>
            <w:tcBorders/>
            <w:vAlign w:val="bottom"/>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Capacity</w:t>
            </w:r>
          </w:p>
        </w:tc>
        <w:tc>
          <w:tcPr>
            <w:tcW w:w="1376"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Production</w:t>
            </w:r>
          </w:p>
        </w:tc>
      </w:tr>
      <w:tr>
        <w:trPr/>
        <w:tc>
          <w:tcPr>
            <w:tcW w:w="216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Albertville</w:t>
            </w:r>
          </w:p>
        </w:tc>
        <w:tc>
          <w:tcPr>
            <w:tcW w:w="288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Alabama</w:t>
            </w:r>
          </w:p>
        </w:tc>
        <w:tc>
          <w:tcPr>
            <w:tcW w:w="216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99,000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99,000</w:t>
            </w:r>
          </w:p>
        </w:tc>
      </w:tr>
      <w:tr>
        <w:trPr/>
        <w:tc>
          <w:tcPr>
            <w:tcW w:w="216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Oakhill</w:t>
            </w:r>
          </w:p>
        </w:tc>
        <w:tc>
          <w:tcPr>
            <w:tcW w:w="288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Nova Scotia</w:t>
            </w:r>
          </w:p>
        </w:tc>
        <w:tc>
          <w:tcPr>
            <w:tcW w:w="2160"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51% Bowater</w:t>
              <w:br/>
              <w:t xml:space="preserve">49% Washington    </w:t>
              <w:br/>
              <w:t xml:space="preserve">         Post</w:t>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110,000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xml:space="preserve">56,000 </w:t>
            </w:r>
          </w:p>
        </w:tc>
      </w:tr>
      <w:tr>
        <w:trPr/>
        <w:tc>
          <w:tcPr>
            <w:tcW w:w="216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 xml:space="preserve">Maniwaki </w:t>
            </w:r>
          </w:p>
        </w:tc>
        <w:tc>
          <w:tcPr>
            <w:tcW w:w="2880" w:type="dxa"/>
            <w:tcBorders/>
            <w:vAlign w:val="bottom"/>
          </w:tcPr>
          <w:p>
            <w:pPr>
              <w:pStyle w:val="BodyTextIndent"/>
              <w:spacing w:before="120" w:after="0"/>
              <w:ind w:hanging="0" w:end="0"/>
              <w:jc w:val="start"/>
              <w:rPr>
                <w:rFonts w:ascii="Times New Roman" w:hAnsi="Times New Roman" w:cs="Times New Roman"/>
              </w:rPr>
            </w:pPr>
            <w:r>
              <w:rPr>
                <w:rFonts w:cs="Times New Roman" w:ascii="Times New Roman" w:hAnsi="Times New Roman"/>
              </w:rPr>
              <w:t>Quebec</w:t>
            </w:r>
          </w:p>
        </w:tc>
        <w:tc>
          <w:tcPr>
            <w:tcW w:w="216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40" w:type="dxa"/>
            <w:tcBorders/>
            <w:vAlign w:val="bottom"/>
          </w:tcPr>
          <w:p>
            <w:pPr>
              <w:pStyle w:val="BodyTextIndent"/>
              <w:spacing w:before="120" w:after="0"/>
              <w:ind w:hanging="0" w:end="0"/>
              <w:jc w:val="end"/>
              <w:rPr>
                <w:rFonts w:ascii="Times New Roman" w:hAnsi="Times New Roman" w:cs="Times New Roman"/>
              </w:rPr>
            </w:pPr>
            <w:r>
              <w:rPr>
                <w:rFonts w:cs="Times New Roman" w:ascii="Times New Roman" w:hAnsi="Times New Roman"/>
              </w:rPr>
              <w:t>79,000</w:t>
            </w:r>
          </w:p>
        </w:tc>
        <w:tc>
          <w:tcPr>
            <w:tcW w:w="1376"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71,000</w:t>
            </w:r>
          </w:p>
        </w:tc>
      </w:tr>
    </w:tbl>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r>
      <w:r>
        <w:br w:type="page"/>
      </w:r>
    </w:p>
    <w:p>
      <w:pPr>
        <w:pStyle w:val="BodyTextIndent"/>
        <w:spacing w:before="120" w:after="0"/>
        <w:ind w:hanging="0" w:end="0"/>
        <w:jc w:val="start"/>
        <w:rPr/>
      </w:pPr>
      <w:r>
        <w:rPr/>
        <w:t>Financial Performance</w:t>
      </w:r>
    </w:p>
    <w:tbl>
      <w:tblPr>
        <w:tblW w:w="10124" w:type="dxa"/>
        <w:jc w:val="start"/>
        <w:tblInd w:w="0" w:type="dxa"/>
        <w:tblLayout w:type="fixed"/>
        <w:tblCellMar>
          <w:top w:w="0" w:type="dxa"/>
          <w:start w:w="108" w:type="dxa"/>
          <w:bottom w:w="0" w:type="dxa"/>
          <w:end w:w="108" w:type="dxa"/>
        </w:tblCellMar>
      </w:tblPr>
      <w:tblGrid>
        <w:gridCol w:w="3078"/>
        <w:gridCol w:w="1409"/>
        <w:gridCol w:w="1409"/>
        <w:gridCol w:w="1409"/>
        <w:gridCol w:w="1409"/>
        <w:gridCol w:w="1410"/>
      </w:tblGrid>
      <w:tr>
        <w:trPr/>
        <w:tc>
          <w:tcPr>
            <w:tcW w:w="3078" w:type="dxa"/>
            <w:tcBorders/>
          </w:tcPr>
          <w:p>
            <w:pPr>
              <w:pStyle w:val="BodyTextIndent"/>
              <w:spacing w:before="120" w:after="0"/>
              <w:ind w:hanging="0" w:end="0"/>
              <w:jc w:val="start"/>
              <w:rPr>
                <w:rFonts w:ascii="Times New Roman" w:hAnsi="Times New Roman" w:cs="Times New Roman"/>
                <w:b/>
                <w:bCs/>
                <w:i/>
                <w:i/>
                <w:iCs/>
              </w:rPr>
            </w:pPr>
            <w:r>
              <w:rPr>
                <w:rFonts w:cs="Times New Roman" w:ascii="Times New Roman" w:hAnsi="Times New Roman"/>
                <w:b/>
                <w:bCs/>
                <w:i/>
                <w:iCs/>
              </w:rPr>
              <w:t>Income Statement</w:t>
            </w:r>
          </w:p>
        </w:tc>
        <w:tc>
          <w:tcPr>
            <w:tcW w:w="1409"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2000</w:t>
            </w:r>
          </w:p>
        </w:tc>
        <w:tc>
          <w:tcPr>
            <w:tcW w:w="1409"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1999</w:t>
            </w:r>
          </w:p>
        </w:tc>
        <w:tc>
          <w:tcPr>
            <w:tcW w:w="1409"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1998</w:t>
            </w:r>
          </w:p>
        </w:tc>
        <w:tc>
          <w:tcPr>
            <w:tcW w:w="1409"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1997</w:t>
            </w:r>
          </w:p>
        </w:tc>
        <w:tc>
          <w:tcPr>
            <w:tcW w:w="1410"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1996</w:t>
            </w:r>
          </w:p>
        </w:tc>
      </w:tr>
      <w:tr>
        <w:trPr/>
        <w:tc>
          <w:tcPr>
            <w:tcW w:w="30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Sales ($  Millions)</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$ 2,500.3</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$ 2,311.7</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$ 2,142.7</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$ 1,598.9</w:t>
            </w:r>
          </w:p>
        </w:tc>
        <w:tc>
          <w:tcPr>
            <w:tcW w:w="1410"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$ 1,839.2</w:t>
            </w:r>
          </w:p>
        </w:tc>
      </w:tr>
      <w:tr>
        <w:trPr/>
        <w:tc>
          <w:tcPr>
            <w:tcW w:w="30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Operating Earnings (w/o Interest Expense) – Percent of Sales</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14%</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11%</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8%</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9%</w:t>
            </w:r>
          </w:p>
        </w:tc>
        <w:tc>
          <w:tcPr>
            <w:tcW w:w="1410"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22%</w:t>
            </w:r>
          </w:p>
        </w:tc>
      </w:tr>
      <w:tr>
        <w:trPr/>
        <w:tc>
          <w:tcPr>
            <w:tcW w:w="30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Interest Expense – Percent of Sales</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5%</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6%</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5%</w:t>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1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r>
      <w:tr>
        <w:trPr/>
        <w:tc>
          <w:tcPr>
            <w:tcW w:w="30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Net (Loss)/Earnings – Percent of Sales</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6%</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3%</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(1)%</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3%</w:t>
            </w:r>
          </w:p>
        </w:tc>
        <w:tc>
          <w:tcPr>
            <w:tcW w:w="1410"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11%</w:t>
            </w:r>
          </w:p>
        </w:tc>
      </w:tr>
      <w:tr>
        <w:trPr/>
        <w:tc>
          <w:tcPr>
            <w:tcW w:w="3078" w:type="dxa"/>
            <w:tcBorders/>
          </w:tcPr>
          <w:p>
            <w:pPr>
              <w:pStyle w:val="BodyTextIndent"/>
              <w:spacing w:before="120" w:after="0"/>
              <w:ind w:hanging="0" w:end="0"/>
              <w:jc w:val="start"/>
              <w:rPr>
                <w:rFonts w:ascii="Times New Roman" w:hAnsi="Times New Roman" w:cs="Times New Roman"/>
                <w:b/>
                <w:bCs/>
                <w:i/>
                <w:i/>
                <w:iCs/>
              </w:rPr>
            </w:pPr>
            <w:r>
              <w:rPr>
                <w:rFonts w:cs="Times New Roman" w:ascii="Times New Roman" w:hAnsi="Times New Roman"/>
                <w:b/>
                <w:bCs/>
                <w:i/>
                <w:iCs/>
              </w:rPr>
              <w:t>Balance Sheet ($ Can Mils)</w:t>
            </w:r>
          </w:p>
        </w:tc>
        <w:tc>
          <w:tcPr>
            <w:tcW w:w="1409" w:type="dxa"/>
            <w:tcBorders/>
          </w:tcPr>
          <w:p>
            <w:pPr>
              <w:pStyle w:val="BodyTextIndent"/>
              <w:snapToGrid w:val="false"/>
              <w:spacing w:before="120" w:after="0"/>
              <w:ind w:hanging="0" w:end="0"/>
              <w:jc w:val="end"/>
              <w:rPr>
                <w:rFonts w:ascii="Times New Roman" w:hAnsi="Times New Roman" w:cs="Times New Roman"/>
                <w:b/>
                <w:bCs/>
                <w:i/>
                <w:i/>
                <w:iCs/>
              </w:rPr>
            </w:pPr>
            <w:r>
              <w:rPr>
                <w:rFonts w:cs="Times New Roman" w:ascii="Times New Roman" w:hAnsi="Times New Roman"/>
                <w:b/>
                <w:bCs/>
                <w:i/>
                <w:iCs/>
              </w:rPr>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1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r>
      <w:tr>
        <w:trPr/>
        <w:tc>
          <w:tcPr>
            <w:tcW w:w="30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xml:space="preserve">Current Assets </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$ 615.6</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$ 532.5</w:t>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1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r>
      <w:tr>
        <w:trPr/>
        <w:tc>
          <w:tcPr>
            <w:tcW w:w="30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Capital Assets</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xml:space="preserve">$4,388.5 </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xml:space="preserve">$4,019.7 </w:t>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1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r>
      <w:tr>
        <w:trPr/>
        <w:tc>
          <w:tcPr>
            <w:tcW w:w="3078" w:type="dxa"/>
            <w:tcBorders/>
          </w:tcPr>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Total Assets</w:t>
            </w:r>
          </w:p>
        </w:tc>
        <w:tc>
          <w:tcPr>
            <w:tcW w:w="1409"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$ 5,004.1</w:t>
            </w:r>
          </w:p>
        </w:tc>
        <w:tc>
          <w:tcPr>
            <w:tcW w:w="1409"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$ 4,552.2</w:t>
            </w:r>
          </w:p>
        </w:tc>
        <w:tc>
          <w:tcPr>
            <w:tcW w:w="1409" w:type="dxa"/>
            <w:tcBorders/>
          </w:tcPr>
          <w:p>
            <w:pPr>
              <w:pStyle w:val="BodyTextIndent"/>
              <w:snapToGrid w:val="false"/>
              <w:spacing w:before="120" w:after="0"/>
              <w:ind w:hanging="0" w:end="0"/>
              <w:jc w:val="end"/>
              <w:rPr>
                <w:rFonts w:ascii="Times New Roman" w:hAnsi="Times New Roman" w:cs="Times New Roman"/>
                <w:b/>
                <w:bCs/>
              </w:rPr>
            </w:pPr>
            <w:r>
              <w:rPr>
                <w:rFonts w:cs="Times New Roman" w:ascii="Times New Roman" w:hAnsi="Times New Roman"/>
                <w:b/>
                <w:bCs/>
              </w:rPr>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1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r>
      <w:tr>
        <w:trPr/>
        <w:tc>
          <w:tcPr>
            <w:tcW w:w="30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Current Liabilities</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$ 951.4</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$ 397.8</w:t>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1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r>
      <w:tr>
        <w:trPr/>
        <w:tc>
          <w:tcPr>
            <w:tcW w:w="307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xml:space="preserve">Long Term Liabilities </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$ 1,304.7</w:t>
            </w:r>
          </w:p>
        </w:tc>
        <w:tc>
          <w:tcPr>
            <w:tcW w:w="1409" w:type="dxa"/>
            <w:tcBorders/>
          </w:tcPr>
          <w:p>
            <w:pPr>
              <w:pStyle w:val="BodyTextIndent"/>
              <w:spacing w:before="120" w:after="0"/>
              <w:ind w:hanging="0" w:end="0"/>
              <w:jc w:val="end"/>
              <w:rPr>
                <w:rFonts w:ascii="Times New Roman" w:hAnsi="Times New Roman" w:cs="Times New Roman"/>
              </w:rPr>
            </w:pPr>
            <w:r>
              <w:rPr>
                <w:rFonts w:cs="Times New Roman" w:ascii="Times New Roman" w:hAnsi="Times New Roman"/>
              </w:rPr>
              <w:t>$ 1,454.6</w:t>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1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r>
      <w:tr>
        <w:trPr/>
        <w:tc>
          <w:tcPr>
            <w:tcW w:w="3078" w:type="dxa"/>
            <w:tcBorders/>
          </w:tcPr>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Total Liabilities</w:t>
            </w:r>
          </w:p>
        </w:tc>
        <w:tc>
          <w:tcPr>
            <w:tcW w:w="1409"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$ 5,004.1</w:t>
            </w:r>
          </w:p>
        </w:tc>
        <w:tc>
          <w:tcPr>
            <w:tcW w:w="1409"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$ 4,552.2</w:t>
            </w:r>
          </w:p>
        </w:tc>
        <w:tc>
          <w:tcPr>
            <w:tcW w:w="1409" w:type="dxa"/>
            <w:tcBorders/>
          </w:tcPr>
          <w:p>
            <w:pPr>
              <w:pStyle w:val="BodyTextIndent"/>
              <w:snapToGrid w:val="false"/>
              <w:spacing w:before="120" w:after="0"/>
              <w:ind w:hanging="0" w:end="0"/>
              <w:jc w:val="end"/>
              <w:rPr>
                <w:rFonts w:ascii="Times New Roman" w:hAnsi="Times New Roman" w:cs="Times New Roman"/>
                <w:b/>
                <w:bCs/>
              </w:rPr>
            </w:pPr>
            <w:r>
              <w:rPr>
                <w:rFonts w:cs="Times New Roman" w:ascii="Times New Roman" w:hAnsi="Times New Roman"/>
                <w:b/>
                <w:bCs/>
              </w:rPr>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1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r>
      <w:tr>
        <w:trPr/>
        <w:tc>
          <w:tcPr>
            <w:tcW w:w="3078" w:type="dxa"/>
            <w:tcBorders/>
          </w:tcPr>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Shareholder’s Equity</w:t>
            </w:r>
          </w:p>
        </w:tc>
        <w:tc>
          <w:tcPr>
            <w:tcW w:w="1409"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$ 1,797.1</w:t>
            </w:r>
          </w:p>
        </w:tc>
        <w:tc>
          <w:tcPr>
            <w:tcW w:w="1409" w:type="dxa"/>
            <w:tcBorders/>
          </w:tcPr>
          <w:p>
            <w:pPr>
              <w:pStyle w:val="BodyTextIndent"/>
              <w:spacing w:before="120" w:after="0"/>
              <w:ind w:hanging="0" w:end="0"/>
              <w:jc w:val="end"/>
              <w:rPr>
                <w:rFonts w:ascii="Times New Roman" w:hAnsi="Times New Roman" w:cs="Times New Roman"/>
                <w:b/>
                <w:bCs/>
              </w:rPr>
            </w:pPr>
            <w:r>
              <w:rPr>
                <w:rFonts w:cs="Times New Roman" w:ascii="Times New Roman" w:hAnsi="Times New Roman"/>
                <w:b/>
                <w:bCs/>
              </w:rPr>
              <w:t>$ 1,770.8</w:t>
            </w:r>
          </w:p>
        </w:tc>
        <w:tc>
          <w:tcPr>
            <w:tcW w:w="1409" w:type="dxa"/>
            <w:tcBorders/>
          </w:tcPr>
          <w:p>
            <w:pPr>
              <w:pStyle w:val="BodyTextIndent"/>
              <w:snapToGrid w:val="false"/>
              <w:spacing w:before="120" w:after="0"/>
              <w:ind w:hanging="0" w:end="0"/>
              <w:jc w:val="end"/>
              <w:rPr>
                <w:rFonts w:ascii="Times New Roman" w:hAnsi="Times New Roman" w:cs="Times New Roman"/>
                <w:b/>
                <w:bCs/>
              </w:rPr>
            </w:pPr>
            <w:r>
              <w:rPr>
                <w:rFonts w:cs="Times New Roman" w:ascii="Times New Roman" w:hAnsi="Times New Roman"/>
                <w:b/>
                <w:bCs/>
              </w:rPr>
            </w:r>
          </w:p>
        </w:tc>
        <w:tc>
          <w:tcPr>
            <w:tcW w:w="1409"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c>
          <w:tcPr>
            <w:tcW w:w="1410" w:type="dxa"/>
            <w:tcBorders/>
          </w:tcPr>
          <w:p>
            <w:pPr>
              <w:pStyle w:val="BodyTextIndent"/>
              <w:snapToGrid w:val="false"/>
              <w:spacing w:before="120" w:after="0"/>
              <w:ind w:hanging="0" w:end="0"/>
              <w:jc w:val="end"/>
              <w:rPr>
                <w:rFonts w:ascii="Times New Roman" w:hAnsi="Times New Roman" w:cs="Times New Roman"/>
              </w:rPr>
            </w:pPr>
            <w:r>
              <w:rPr>
                <w:rFonts w:cs="Times New Roman" w:ascii="Times New Roman" w:hAnsi="Times New Roman"/>
              </w:rPr>
            </w:r>
          </w:p>
        </w:tc>
      </w:tr>
    </w:tbl>
    <w:p>
      <w:pPr>
        <w:pStyle w:val="BodyTextIndent"/>
        <w:spacing w:before="120" w:after="0"/>
        <w:ind w:hanging="0" w:start="360" w:end="0"/>
        <w:jc w:val="start"/>
        <w:rPr>
          <w:rFonts w:ascii="Times New Roman" w:hAnsi="Times New Roman" w:cs="Times New Roman"/>
        </w:rPr>
      </w:pPr>
      <w:r>
        <w:rPr>
          <w:rFonts w:cs="Times New Roman" w:ascii="Times New Roman" w:hAnsi="Times New Roman"/>
        </w:rPr>
      </w:r>
    </w:p>
    <w:p>
      <w:pPr>
        <w:pStyle w:val="BodyTextIndent"/>
        <w:spacing w:before="120" w:after="0"/>
        <w:ind w:hanging="0" w:start="360" w:end="0"/>
        <w:jc w:val="start"/>
        <w:rPr>
          <w:rFonts w:ascii="Times New Roman" w:hAnsi="Times New Roman" w:cs="Times New Roman"/>
        </w:rPr>
      </w:pPr>
      <w:r>
        <w:rPr>
          <w:rFonts w:cs="Times New Roman" w:ascii="Times New Roman" w:hAnsi="Times New Roman"/>
        </w:rPr>
        <w:t>A review of the financial statements shows the following:</w:t>
      </w:r>
    </w:p>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Bowater’s annual North American capacity of newsprint and uncoated groundwood is 18% of the North Amercian capacity total and 8% of the worldwide capacity total.</w:t>
      </w:r>
    </w:p>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 xml:space="preserve">During 2000, cash flow was affected by the acquisition and disposition of the following assets:  </w:t>
      </w:r>
    </w:p>
    <w:tbl>
      <w:tblPr>
        <w:tblW w:w="9099" w:type="dxa"/>
        <w:jc w:val="start"/>
        <w:tblInd w:w="468" w:type="dxa"/>
        <w:tblLayout w:type="fixed"/>
        <w:tblCellMar>
          <w:top w:w="0" w:type="dxa"/>
          <w:start w:w="108" w:type="dxa"/>
          <w:bottom w:w="0" w:type="dxa"/>
          <w:end w:w="108" w:type="dxa"/>
        </w:tblCellMar>
      </w:tblPr>
      <w:tblGrid>
        <w:gridCol w:w="1056"/>
        <w:gridCol w:w="3555"/>
        <w:gridCol w:w="2858"/>
        <w:gridCol w:w="1630"/>
      </w:tblGrid>
      <w:tr>
        <w:trPr/>
        <w:tc>
          <w:tcPr>
            <w:tcW w:w="1056" w:type="dxa"/>
            <w:tcBorders/>
          </w:tcPr>
          <w:p>
            <w:pPr>
              <w:pStyle w:val="BodyTextIndent"/>
              <w:snapToGrid w:val="false"/>
              <w:spacing w:before="120" w:after="0"/>
              <w:ind w:hanging="0" w:end="0"/>
              <w:jc w:val="start"/>
              <w:rPr>
                <w:rFonts w:ascii="Times New Roman" w:hAnsi="Times New Roman" w:cs="Times New Roman"/>
              </w:rPr>
            </w:pPr>
            <w:r>
              <w:rPr>
                <w:rFonts w:cs="Times New Roman" w:ascii="Times New Roman" w:hAnsi="Times New Roman"/>
              </w:rPr>
            </w:r>
          </w:p>
        </w:tc>
        <w:tc>
          <w:tcPr>
            <w:tcW w:w="3555" w:type="dxa"/>
            <w:tcBorders/>
          </w:tcPr>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Acquisitions</w:t>
            </w:r>
          </w:p>
        </w:tc>
        <w:tc>
          <w:tcPr>
            <w:tcW w:w="2858" w:type="dxa"/>
            <w:tcBorders/>
          </w:tcPr>
          <w:p>
            <w:pPr>
              <w:pStyle w:val="BodyTextIndent"/>
              <w:snapToGrid w:val="false"/>
              <w:spacing w:before="120" w:after="0"/>
              <w:ind w:hanging="0" w:end="0"/>
              <w:jc w:val="start"/>
              <w:rPr>
                <w:rFonts w:ascii="Times New Roman" w:hAnsi="Times New Roman" w:cs="Times New Roman"/>
                <w:b/>
                <w:bCs/>
              </w:rPr>
            </w:pPr>
            <w:r>
              <w:rPr>
                <w:rFonts w:cs="Times New Roman" w:ascii="Times New Roman" w:hAnsi="Times New Roman"/>
                <w:b/>
                <w:bCs/>
              </w:rPr>
            </w:r>
          </w:p>
        </w:tc>
        <w:tc>
          <w:tcPr>
            <w:tcW w:w="1630" w:type="dxa"/>
            <w:tcBorders/>
          </w:tcPr>
          <w:p>
            <w:pPr>
              <w:pStyle w:val="BodyTextIndent"/>
              <w:snapToGrid w:val="false"/>
              <w:spacing w:before="120" w:after="0"/>
              <w:ind w:hanging="0" w:end="0"/>
              <w:jc w:val="start"/>
              <w:rPr>
                <w:rFonts w:ascii="Times New Roman" w:hAnsi="Times New Roman" w:cs="Times New Roman"/>
              </w:rPr>
            </w:pPr>
            <w:r>
              <w:rPr>
                <w:rFonts w:cs="Times New Roman" w:ascii="Times New Roman" w:hAnsi="Times New Roman"/>
              </w:rPr>
            </w:r>
          </w:p>
        </w:tc>
      </w:tr>
      <w:tr>
        <w:trPr/>
        <w:tc>
          <w:tcPr>
            <w:tcW w:w="1056"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2000</w:t>
            </w:r>
          </w:p>
        </w:tc>
        <w:tc>
          <w:tcPr>
            <w:tcW w:w="3555"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Ignace sawmill</w:t>
            </w:r>
          </w:p>
        </w:tc>
        <w:tc>
          <w:tcPr>
            <w:tcW w:w="285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Northern Ontario</w:t>
            </w:r>
          </w:p>
        </w:tc>
        <w:tc>
          <w:tcPr>
            <w:tcW w:w="1630"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4.7 million</w:t>
            </w:r>
          </w:p>
        </w:tc>
      </w:tr>
      <w:tr>
        <w:trPr/>
        <w:tc>
          <w:tcPr>
            <w:tcW w:w="1056"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2000</w:t>
            </w:r>
          </w:p>
        </w:tc>
        <w:tc>
          <w:tcPr>
            <w:tcW w:w="3555"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Newsprint South, Inc., paper mill</w:t>
            </w:r>
          </w:p>
        </w:tc>
        <w:tc>
          <w:tcPr>
            <w:tcW w:w="285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Grenada, Mississipi</w:t>
            </w:r>
          </w:p>
        </w:tc>
        <w:tc>
          <w:tcPr>
            <w:tcW w:w="1630"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$382.2 million</w:t>
            </w:r>
          </w:p>
        </w:tc>
      </w:tr>
      <w:tr>
        <w:trPr/>
        <w:tc>
          <w:tcPr>
            <w:tcW w:w="1056"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2000</w:t>
            </w:r>
          </w:p>
        </w:tc>
        <w:tc>
          <w:tcPr>
            <w:tcW w:w="3555"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Investment in PaperExchange.com</w:t>
            </w:r>
          </w:p>
        </w:tc>
        <w:tc>
          <w:tcPr>
            <w:tcW w:w="2858" w:type="dxa"/>
            <w:tcBorders/>
          </w:tcPr>
          <w:p>
            <w:pPr>
              <w:pStyle w:val="BodyTextIndent"/>
              <w:snapToGrid w:val="false"/>
              <w:spacing w:before="120" w:after="0"/>
              <w:ind w:hanging="0" w:end="0"/>
              <w:jc w:val="start"/>
              <w:rPr>
                <w:rFonts w:ascii="Times New Roman" w:hAnsi="Times New Roman" w:cs="Times New Roman"/>
              </w:rPr>
            </w:pPr>
            <w:r>
              <w:rPr>
                <w:rFonts w:cs="Times New Roman" w:ascii="Times New Roman" w:hAnsi="Times New Roman"/>
              </w:rPr>
            </w:r>
          </w:p>
        </w:tc>
        <w:tc>
          <w:tcPr>
            <w:tcW w:w="1630"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3.1 million</w:t>
            </w:r>
          </w:p>
        </w:tc>
      </w:tr>
      <w:tr>
        <w:trPr/>
        <w:tc>
          <w:tcPr>
            <w:tcW w:w="1056" w:type="dxa"/>
            <w:tcBorders/>
          </w:tcPr>
          <w:p>
            <w:pPr>
              <w:pStyle w:val="BodyTextIndent"/>
              <w:snapToGrid w:val="false"/>
              <w:spacing w:before="120" w:after="0"/>
              <w:ind w:hanging="0" w:end="0"/>
              <w:jc w:val="start"/>
              <w:rPr>
                <w:rFonts w:ascii="Times New Roman" w:hAnsi="Times New Roman" w:cs="Times New Roman"/>
              </w:rPr>
            </w:pPr>
            <w:r>
              <w:rPr>
                <w:rFonts w:cs="Times New Roman" w:ascii="Times New Roman" w:hAnsi="Times New Roman"/>
              </w:rPr>
            </w:r>
          </w:p>
        </w:tc>
        <w:tc>
          <w:tcPr>
            <w:tcW w:w="3555" w:type="dxa"/>
            <w:tcBorders/>
          </w:tcPr>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Dispositions</w:t>
            </w:r>
          </w:p>
        </w:tc>
        <w:tc>
          <w:tcPr>
            <w:tcW w:w="2858" w:type="dxa"/>
            <w:tcBorders/>
          </w:tcPr>
          <w:p>
            <w:pPr>
              <w:pStyle w:val="BodyTextIndent"/>
              <w:snapToGrid w:val="false"/>
              <w:spacing w:before="120" w:after="0"/>
              <w:ind w:hanging="0" w:end="0"/>
              <w:jc w:val="start"/>
              <w:rPr>
                <w:rFonts w:ascii="Times New Roman" w:hAnsi="Times New Roman" w:cs="Times New Roman"/>
                <w:b/>
                <w:bCs/>
              </w:rPr>
            </w:pPr>
            <w:r>
              <w:rPr>
                <w:rFonts w:cs="Times New Roman" w:ascii="Times New Roman" w:hAnsi="Times New Roman"/>
                <w:b/>
                <w:bCs/>
              </w:rPr>
            </w:r>
          </w:p>
        </w:tc>
        <w:tc>
          <w:tcPr>
            <w:tcW w:w="1630" w:type="dxa"/>
            <w:tcBorders/>
          </w:tcPr>
          <w:p>
            <w:pPr>
              <w:pStyle w:val="BodyTextIndent"/>
              <w:snapToGrid w:val="false"/>
              <w:spacing w:before="120" w:after="0"/>
              <w:ind w:hanging="0" w:end="0"/>
              <w:jc w:val="start"/>
              <w:rPr>
                <w:rFonts w:ascii="Times New Roman" w:hAnsi="Times New Roman" w:cs="Times New Roman"/>
              </w:rPr>
            </w:pPr>
            <w:r>
              <w:rPr>
                <w:rFonts w:cs="Times New Roman" w:ascii="Times New Roman" w:hAnsi="Times New Roman"/>
              </w:rPr>
            </w:r>
          </w:p>
        </w:tc>
      </w:tr>
      <w:tr>
        <w:trPr/>
        <w:tc>
          <w:tcPr>
            <w:tcW w:w="1056"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2000</w:t>
            </w:r>
          </w:p>
        </w:tc>
        <w:tc>
          <w:tcPr>
            <w:tcW w:w="3555"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6,900 acres of timberlands</w:t>
            </w:r>
          </w:p>
        </w:tc>
        <w:tc>
          <w:tcPr>
            <w:tcW w:w="2858"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xml:space="preserve">Southeastern  United States   </w:t>
              <w:br/>
            </w:r>
          </w:p>
        </w:tc>
        <w:tc>
          <w:tcPr>
            <w:tcW w:w="1630" w:type="dxa"/>
            <w:tcBorders/>
          </w:tcPr>
          <w:p>
            <w:pPr>
              <w:pStyle w:val="BodyTextIndent"/>
              <w:spacing w:before="120" w:after="0"/>
              <w:ind w:hanging="0" w:end="0"/>
              <w:jc w:val="start"/>
              <w:rPr>
                <w:rFonts w:ascii="Times New Roman" w:hAnsi="Times New Roman" w:cs="Times New Roman"/>
              </w:rPr>
            </w:pPr>
            <w:r>
              <w:rPr>
                <w:rFonts w:cs="Times New Roman" w:ascii="Times New Roman" w:hAnsi="Times New Roman"/>
              </w:rPr>
              <w:t>$    4.1 million</w:t>
            </w:r>
          </w:p>
        </w:tc>
      </w:tr>
    </w:tbl>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Interest expenses increased 29% in 1999, from $98.4 to $126.7 million, resulting from debt related to the Avenor acquisition ( July 1998 )and the Newsprint South paper mill (August 2000).</w:t>
      </w:r>
    </w:p>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 xml:space="preserve">Exposure to foreign currency exchange rate volatility resulted in cash paid on the maturity of hedging contracts in the Canadian dollar hedging program of $27.7 million in 2000 versus $37.4 million in 1999.  Pre-tax foreign exchange gains were $33.4 million in 1999 versus foreign exchange losses of $29.7 million in 1998. </w:t>
      </w:r>
    </w:p>
    <w:p>
      <w:pPr>
        <w:pStyle w:val="BodyTextIndent"/>
        <w:numPr>
          <w:ilvl w:val="0"/>
          <w:numId w:val="1"/>
        </w:numPr>
        <w:spacing w:before="120" w:after="0"/>
        <w:jc w:val="start"/>
        <w:rPr>
          <w:rFonts w:ascii="Times New Roman" w:hAnsi="Times New Roman" w:cs="Times New Roman"/>
        </w:rPr>
      </w:pPr>
      <w:r>
        <w:rPr>
          <w:rFonts w:cs="Times New Roman" w:ascii="Times New Roman" w:hAnsi="Times New Roman"/>
        </w:rPr>
        <w:t>Cluster Rule compliance are expected to result in expenditures of:</w:t>
      </w:r>
    </w:p>
    <w:p>
      <w:pPr>
        <w:pStyle w:val="BodyTextIndent"/>
        <w:spacing w:before="120" w:after="0"/>
        <w:ind w:hanging="0" w:start="360" w:end="0"/>
        <w:jc w:val="star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$175 million project </w:t>
        <w:tab/>
        <w:t xml:space="preserve">         replacement of fiber line at Catawba facility                 </w:t>
      </w:r>
    </w:p>
    <w:p>
      <w:pPr>
        <w:pStyle w:val="BodyTextIndent"/>
        <w:spacing w:before="120" w:after="0"/>
        <w:ind w:hanging="0" w:start="360" w:end="0"/>
        <w:jc w:val="star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$88 million                        construction of kraft recovery boiler at Thunder Bay facility</w:t>
      </w:r>
    </w:p>
    <w:p>
      <w:pPr>
        <w:pStyle w:val="BodyTextIndent"/>
        <w:spacing w:before="120" w:after="0"/>
        <w:ind w:hanging="0" w:start="360" w:end="0"/>
        <w:jc w:val="star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$30 million </w:t>
        <w:tab/>
        <w:t xml:space="preserve">                       capital expenditures projected per year capital for compliance               </w:t>
      </w:r>
    </w:p>
    <w:p>
      <w:pPr>
        <w:pStyle w:val="BodyTextIndent"/>
        <w:spacing w:before="120" w:after="0"/>
        <w:ind w:hanging="0" w:end="0"/>
        <w:jc w:val="start"/>
        <w:rPr>
          <w:rFonts w:ascii="Times New Roman" w:hAnsi="Times New Roman" w:cs="Times New Roman"/>
          <w:b/>
          <w:bCs/>
        </w:rPr>
      </w:pPr>
      <w:r>
        <w:rPr>
          <w:rFonts w:cs="Times New Roman" w:ascii="Times New Roman" w:hAnsi="Times New Roman"/>
          <w:b/>
          <w:bCs/>
        </w:rPr>
        <w:t>Business Strategies</w:t>
      </w:r>
    </w:p>
    <w:p>
      <w:pPr>
        <w:pStyle w:val="BodyTextIndent"/>
        <w:spacing w:before="120" w:after="0"/>
        <w:ind w:hanging="0" w:end="0"/>
        <w:jc w:val="start"/>
        <w:rPr>
          <w:rFonts w:ascii="Times New Roman" w:hAnsi="Times New Roman" w:cs="Times New Roman"/>
        </w:rPr>
      </w:pPr>
      <w:r>
        <w:rPr>
          <w:rFonts w:cs="Times New Roman" w:ascii="Times New Roman" w:hAnsi="Times New Roman"/>
        </w:rPr>
        <w:t>The following business strategies can be discerned from Bowater’s public statements and actions:</w:t>
      </w:r>
    </w:p>
    <w:p>
      <w:pPr>
        <w:pStyle w:val="Normal"/>
        <w:numPr>
          <w:ilvl w:val="0"/>
          <w:numId w:val="5"/>
        </w:numPr>
        <w:spacing w:before="120" w:after="0"/>
        <w:rPr/>
      </w:pPr>
      <w:r>
        <w:rPr/>
        <w:t>Diversify and expand the product mix to protect against price volatility in newsprint, Bowater’s primary product.  Elements of this strategy include:</w:t>
      </w:r>
    </w:p>
    <w:p>
      <w:pPr>
        <w:pStyle w:val="Normal"/>
        <w:numPr>
          <w:ilvl w:val="0"/>
          <w:numId w:val="6"/>
        </w:numPr>
        <w:ind w:hanging="360" w:start="1080" w:end="0"/>
        <w:rPr/>
      </w:pPr>
      <w:r>
        <w:rPr/>
        <w:t>Expanding coated papers capacity by the conversion of a large newsprint machine at the Catawba mill to a coated groundwood machine and the adding two coating plants;</w:t>
      </w:r>
    </w:p>
    <w:p>
      <w:pPr>
        <w:pStyle w:val="Normal"/>
        <w:numPr>
          <w:ilvl w:val="0"/>
          <w:numId w:val="6"/>
        </w:numPr>
        <w:ind w:hanging="360" w:start="1080" w:end="0"/>
        <w:rPr/>
      </w:pPr>
      <w:r>
        <w:rPr/>
        <w:t xml:space="preserve">Developing new uncoated groundwood specialty grades at the Calhoun site; </w:t>
      </w:r>
    </w:p>
    <w:p>
      <w:pPr>
        <w:pStyle w:val="Normal"/>
        <w:numPr>
          <w:ilvl w:val="0"/>
          <w:numId w:val="6"/>
        </w:numPr>
        <w:ind w:hanging="360" w:start="1080" w:end="0"/>
        <w:rPr/>
      </w:pPr>
      <w:r>
        <w:rPr/>
        <w:t>Acquiring selected assets, with examples including the acquisition of the Ignace Sawmill in Northern, Ontario, and the Newsprint South Paper Mill in Grenada, Mississippi; and</w:t>
      </w:r>
    </w:p>
    <w:p>
      <w:pPr>
        <w:pStyle w:val="Normal"/>
        <w:numPr>
          <w:ilvl w:val="0"/>
          <w:numId w:val="6"/>
        </w:numPr>
        <w:ind w:hanging="360" w:start="1080" w:end="0"/>
        <w:rPr/>
      </w:pPr>
      <w:r>
        <w:rPr/>
        <w:t>Investing $3.1 million in PaperExchange.com, a global e-business marketplace for the pulp and paper industry to facilitate sales over the Internet.</w:t>
      </w:r>
    </w:p>
    <w:p>
      <w:pPr>
        <w:pStyle w:val="Normal"/>
        <w:numPr>
          <w:ilvl w:val="0"/>
          <w:numId w:val="4"/>
        </w:numPr>
        <w:spacing w:before="120" w:after="0"/>
        <w:rPr/>
      </w:pPr>
      <w:r>
        <w:rPr/>
        <w:t xml:space="preserve">Reduce the cost base by eliminating non-strategic products and implementing cost reductions and productivity improvements, including:  </w:t>
      </w:r>
    </w:p>
    <w:p>
      <w:pPr>
        <w:pStyle w:val="Normal"/>
        <w:numPr>
          <w:ilvl w:val="0"/>
          <w:numId w:val="7"/>
        </w:numPr>
        <w:ind w:hanging="360" w:start="1080" w:end="0"/>
        <w:rPr/>
      </w:pPr>
      <w:r>
        <w:rPr/>
        <w:t>Making several strategic divestitures, including Great Northern Paper, timberlands in Maine, and timberlands in North and South Carolina.</w:t>
      </w:r>
    </w:p>
    <w:p>
      <w:pPr>
        <w:pStyle w:val="Normal"/>
        <w:numPr>
          <w:ilvl w:val="0"/>
          <w:numId w:val="7"/>
        </w:numPr>
        <w:ind w:hanging="360" w:start="1080" w:end="0"/>
        <w:rPr/>
      </w:pPr>
      <w:r>
        <w:rPr/>
        <w:t xml:space="preserve">Implementing cost reductions, indicating that initiatives totaling $270 million have been implemented over the past five years, and targeting an additional $100 million of profit improvements. </w:t>
      </w:r>
    </w:p>
    <w:p>
      <w:pPr>
        <w:pStyle w:val="Normal"/>
        <w:numPr>
          <w:ilvl w:val="0"/>
          <w:numId w:val="3"/>
        </w:numPr>
        <w:spacing w:before="240" w:after="0"/>
        <w:rPr/>
      </w:pPr>
      <w:r>
        <w:rPr/>
        <w:t>Manage economic and industry cyclicality by:</w:t>
      </w:r>
    </w:p>
    <w:p>
      <w:pPr>
        <w:pStyle w:val="Normal"/>
        <w:numPr>
          <w:ilvl w:val="0"/>
          <w:numId w:val="2"/>
        </w:numPr>
        <w:rPr/>
      </w:pPr>
      <w:r>
        <w:rPr/>
        <w:t>Addressing foreign currency risks through the use of derivative financial instruments, as evidenced by Bowater’s holding foreign currency forward and range forward contracts with a notional value of $448 million through 2002;</w:t>
      </w:r>
    </w:p>
    <w:p>
      <w:pPr>
        <w:pStyle w:val="Normal"/>
        <w:ind w:start="720" w:end="0"/>
        <w:rPr/>
      </w:pPr>
      <w:r>
        <w:rPr/>
      </w:r>
    </w:p>
    <w:p>
      <w:pPr>
        <w:pStyle w:val="Normal"/>
        <w:ind w:start="360" w:end="0"/>
        <w:rPr/>
      </w:pPr>
      <w:r>
        <w:rPr>
          <w:rFonts w:eastAsia="Symbol" w:cs="Symbol" w:ascii="Symbol" w:hAnsi="Symbol"/>
        </w:rPr>
        <w:sym w:font="Symbol" w:char="f0b7"/>
      </w:r>
      <w:r>
        <w:rPr/>
        <w:t xml:space="preserve">     </w:t>
      </w:r>
      <w:r>
        <w:rPr/>
        <w:t xml:space="preserve">Challenged by industry cyclicality and consumer pattern risks; and the risk of volatile input  </w:t>
      </w:r>
    </w:p>
    <w:p>
      <w:pPr>
        <w:pStyle w:val="Normal"/>
        <w:ind w:start="360" w:end="0"/>
        <w:rPr/>
      </w:pPr>
      <w:r>
        <w:rPr/>
        <w:t xml:space="preserve">       </w:t>
      </w:r>
      <w:r>
        <w:rPr/>
        <w:t>prices, including raw material and energy.  These risks could be mitigated by:</w:t>
      </w:r>
    </w:p>
    <w:p>
      <w:pPr>
        <w:pStyle w:val="Normal"/>
        <w:ind w:start="360" w:end="0"/>
        <w:rPr/>
      </w:pPr>
      <w:r>
        <w:rPr/>
        <w:t xml:space="preserve">      </w:t>
      </w:r>
      <w:r>
        <w:rPr>
          <w:rFonts w:eastAsia="Symbol" w:cs="Symbol" w:ascii="Symbol" w:hAnsi="Symbol"/>
        </w:rPr>
        <w:sym w:font="Symbol" w:char="f02d"/>
      </w:r>
      <w:r>
        <w:rPr/>
        <w:t xml:space="preserve">    </w:t>
      </w:r>
      <w:r>
        <w:rPr/>
        <w:t xml:space="preserve">Developing hedging strategies. </w:t>
      </w:r>
    </w:p>
    <w:sectPr>
      <w:headerReference w:type="default" r:id="rId2"/>
      <w:footerReference w:type="default" r:id="rId3"/>
      <w:footnotePr>
        <w:numFmt w:val="decimal"/>
      </w:footnotePr>
      <w:type w:val="nextPage"/>
      <w:pgSz w:w="12240" w:h="15840"/>
      <w:pgMar w:left="1166" w:right="1166" w:gutter="0" w:header="720" w:top="260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0440"/>
        <w:tab w:val="center" w:pos="5580" w:leader="none"/>
        <w:tab w:val="right" w:pos="9900" w:leader="none"/>
        <w:tab w:val="left" w:pos="10530" w:leader="none"/>
      </w:tabs>
      <w:spacing w:before="0" w:after="0"/>
      <w:rPr>
        <w:rFonts w:ascii="Times New Roman" w:hAnsi="Times New Roman" w:cs="Times New Roman"/>
        <w:sz w:val="18"/>
      </w:rPr>
    </w:pPr>
    <w:r>
      <w:rPr>
        <w:rFonts w:cs="Times New Roman" w:ascii="Times New Roman" w:hAnsi="Times New Roman"/>
        <w:sz w:val="18"/>
      </w:rPr>
      <w:t>AK</w:t>
      <w:tab/>
    </w:r>
    <w:r>
      <w:rPr>
        <w:rFonts w:cs="Times New Roman" w:ascii="Times New Roman" w:hAnsi="Times New Roman"/>
      </w:rPr>
      <w:t xml:space="preserv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r>
      <w:rPr>
        <w:rStyle w:val="PageNumber"/>
        <w:rFonts w:cs="Times New Roman" w:ascii="Times New Roman" w:hAnsi="Times New Roman"/>
      </w:rPr>
      <w:t>-</w:t>
    </w:r>
    <w:r>
      <w:rPr>
        <w:rFonts w:cs="Times New Roman" w:ascii="Times New Roman" w:hAnsi="Times New Roman"/>
        <w:sz w:val="18"/>
      </w:rPr>
      <w:tab/>
    </w:r>
    <w:r>
      <w:rPr>
        <w:rFonts w:cs="Times New Roman" w:ascii="Times New Roman" w:hAnsi="Times New Roman"/>
        <w:sz w:val="18"/>
      </w:rPr>
      <w:fldChar w:fldCharType="begin"/>
    </w:r>
    <w:r>
      <w:rPr>
        <w:sz w:val="18"/>
        <w:rFonts w:cs="Times New Roman" w:ascii="Times New Roman" w:hAnsi="Times New Roman"/>
      </w:rPr>
      <w:instrText xml:space="preserve"> DATE \@"M/d/yyyy" </w:instrText>
    </w:r>
    <w:r>
      <w:rPr>
        <w:sz w:val="18"/>
        <w:rFonts w:cs="Times New Roman" w:ascii="Times New Roman" w:hAnsi="Times New Roman"/>
      </w:rPr>
      <w:fldChar w:fldCharType="separate"/>
    </w:r>
    <w:r>
      <w:rPr>
        <w:sz w:val="18"/>
        <w:rFonts w:cs="Times New Roman" w:ascii="Times New Roman" w:hAnsi="Times New Roman"/>
      </w:rPr>
      <w:t>9/28/2025</w:t>
    </w:r>
    <w:r>
      <w:rPr>
        <w:sz w:val="18"/>
        <w:rFonts w:cs="Times New Roman" w:ascii="Times New Roman" w:hAnsi="Times New Roman"/>
      </w:rPr>
      <w:fldChar w:fldCharType="end"/>
    </w:r>
  </w:p>
  <w:p>
    <w:pPr>
      <w:pStyle w:val="Footer"/>
      <w:tabs>
        <w:tab w:val="clear" w:pos="10440"/>
        <w:tab w:val="center" w:pos="5580" w:leader="none"/>
        <w:tab w:val="right" w:pos="9900" w:leader="none"/>
        <w:tab w:val="left" w:pos="10530" w:leader="none"/>
      </w:tabs>
      <w:spacing w:before="0" w:after="0"/>
      <w:rPr/>
    </w:pPr>
    <w:r>
      <w:rPr>
        <w:rFonts w:cs="Times New Roman" w:ascii="Times New Roman" w:hAnsi="Times New Roman"/>
        <w:sz w:val="18"/>
      </w:rPr>
      <w:fldChar w:fldCharType="begin"/>
    </w:r>
    <w:r>
      <w:rPr>
        <w:sz w:val="18"/>
        <w:rFonts w:cs="Times New Roman" w:ascii="Times New Roman" w:hAnsi="Times New Roman"/>
      </w:rPr>
      <w:instrText xml:space="preserve"> FILENAME \p </w:instrText>
    </w:r>
    <w:r>
      <w:rPr>
        <w:sz w:val="18"/>
        <w:rFonts w:cs="Times New Roman" w:ascii="Times New Roman" w:hAnsi="Times New Roman"/>
      </w:rPr>
      <w:fldChar w:fldCharType="separate"/>
    </w:r>
    <w:r>
      <w:rPr>
        <w:sz w:val="18"/>
        <w:rFonts w:cs="Times New Roman" w:ascii="Times New Roman" w:hAnsi="Times New Roman"/>
      </w:rPr>
      <w:t>/mnt/main-storage/datasets/enron-docs/doc/BowaterFF.doc</w:t>
    </w:r>
    <w:r>
      <w:rPr>
        <w:sz w:val="18"/>
        <w:rFonts w:cs="Times New Roman" w:ascii="Times New Roman" w:hAnsi="Times New Roman"/>
      </w:rPr>
      <w:fldChar w:fldCharType="end"/>
    </w:r>
    <w:r>
      <w:rPr>
        <w:rFonts w:cs="Times New Roman" w:ascii="Times New Roman" w:hAnsi="Times New Roman"/>
        <w:sz w:val="18"/>
      </w:rPr>
      <w:tab/>
      <w:tab/>
    </w:r>
    <w:r>
      <w:rPr>
        <w:rFonts w:cs="Times New Roman" w:ascii="Times New Roman" w:hAnsi="Times New Roman"/>
        <w:sz w:val="18"/>
      </w:rPr>
      <w:fldChar w:fldCharType="begin"/>
    </w:r>
    <w:r>
      <w:rPr>
        <w:sz w:val="18"/>
        <w:rFonts w:cs="Times New Roman" w:ascii="Times New Roman" w:hAnsi="Times New Roman"/>
      </w:rPr>
      <w:instrText xml:space="preserve"> TIME \@"H:mm\ AM/PM" </w:instrText>
    </w:r>
    <w:r>
      <w:rPr>
        <w:sz w:val="18"/>
        <w:rFonts w:cs="Times New Roman" w:ascii="Times New Roman" w:hAnsi="Times New Roman"/>
      </w:rPr>
      <w:fldChar w:fldCharType="separate"/>
    </w:r>
    <w:r>
      <w:rPr>
        <w:sz w:val="18"/>
        <w:rFonts w:cs="Times New Roman" w:ascii="Times New Roman" w:hAnsi="Times New Roman"/>
      </w:rPr>
      <w:t>8:15 AM</w:t>
    </w:r>
    <w:r>
      <w:rPr>
        <w:sz w:val="18"/>
        <w:rFonts w:cs="Times New Roman" w:ascii="Times New Roman" w:hAnsi="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pPr>
      <w:r>
        <w:rPr>
          <w:rStyle w:val="FootnoteCharacters"/>
        </w:rPr>
        <w:footnoteRef/>
      </w:r>
      <w:r>
        <w:rPr>
          <w:rFonts w:cs="Times New Roman" w:ascii="Times New Roman" w:hAnsi="Times New Roman"/>
        </w:rPr>
        <w:t xml:space="preserve"> </w:t>
      </w:r>
      <w:r>
        <w:rPr>
          <w:rFonts w:cs="Times New Roman" w:ascii="Times New Roman" w:hAnsi="Times New Roman"/>
        </w:rPr>
        <w:t xml:space="preserve">Source:  </w:t>
      </w:r>
      <w:r>
        <w:rPr>
          <w:rFonts w:cs="Times New Roman" w:ascii="Times New Roman" w:hAnsi="Times New Roman"/>
          <w:b/>
          <w:bCs/>
          <w:i/>
          <w:iCs/>
        </w:rPr>
        <w:t>2000 Annual Information Form, April 4, 2001</w:t>
      </w:r>
    </w:p>
  </w:footnote>
  <w:footnote w:id="3">
    <w:p>
      <w:pPr>
        <w:pStyle w:val="FootnoteText"/>
        <w:spacing w:before="0" w:after="0"/>
        <w:rPr/>
      </w:pPr>
      <w:r>
        <w:rPr>
          <w:rStyle w:val="FootnoteCharacters"/>
        </w:rPr>
        <w:footnoteRef/>
      </w:r>
      <w:r>
        <w:rPr>
          <w:rFonts w:cs="Times New Roman" w:ascii="Times New Roman" w:hAnsi="Times New Roman"/>
        </w:rPr>
        <w:t xml:space="preserve"> </w:t>
      </w:r>
      <w:r>
        <w:rPr>
          <w:rFonts w:cs="Times New Roman" w:ascii="Times New Roman" w:hAnsi="Times New Roman"/>
        </w:rPr>
        <w:t>If not 100% Bowater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bookmarkStart w:id="0" w:name="_1049009660"/>
    <w:bookmarkEnd w:id="0"/>
    <w:r>
      <w:rPr/>
      <w:object w:dxaOrig="2780" w:dyaOrig="124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12.05pt;height:50pt" filled="f" o:ole="">
          <v:imagedata r:id="rId2" o:title=""/>
        </v:shape>
        <o:OLEObject Type="Embed" ProgID="" ShapeID="ole_rId1" DrawAspect="Content" ObjectID="_594983426" r:id="rId1"/>
      </w:objec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Times New Roman" w:hAnsi="Times New Roman" w:eastAsia="Times New Roman" w:cs="Times New Roman"/>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000000"/>
    </w:rPr>
  </w:style>
  <w:style w:type="character" w:styleId="WW8Num11z1">
    <w:name w:val="WW8Num11z1"/>
    <w:qFormat/>
    <w:rPr>
      <w:rFonts w:ascii="Symbol" w:hAnsi="Symbol" w:cs="Symbol"/>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color w:val="000000"/>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color w:val="auto"/>
      <w:sz w:val="28"/>
    </w:rPr>
  </w:style>
  <w:style w:type="character" w:styleId="WW8Num14z1">
    <w:name w:val="WW8Num14z1"/>
    <w:qFormat/>
    <w:rPr/>
  </w:style>
  <w:style w:type="character" w:styleId="WW8Num14z7">
    <w:name w:val="WW8Num14z7"/>
    <w:qFormat/>
    <w:rPr>
      <w:rFonts w:ascii="Symbol" w:hAnsi="Symbol" w:cs="Symbol"/>
    </w:rPr>
  </w:style>
  <w:style w:type="character" w:styleId="WW8Num14z8">
    <w:name w:val="WW8Num14z8"/>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auto"/>
      <w:sz w:val="28"/>
    </w:rPr>
  </w:style>
  <w:style w:type="character" w:styleId="WW8Num16z1">
    <w:name w:val="WW8Num16z1"/>
    <w:qFormat/>
    <w:rPr/>
  </w:style>
  <w:style w:type="character" w:styleId="WW8Num16z7">
    <w:name w:val="WW8Num16z7"/>
    <w:qFormat/>
    <w:rPr>
      <w:rFonts w:ascii="Symbol" w:hAnsi="Symbol" w:cs="Symbol"/>
    </w:rPr>
  </w:style>
  <w:style w:type="character" w:styleId="WW8Num16z8">
    <w:name w:val="WW8Num16z8"/>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center" w:pos="5130" w:leader="none"/>
        <w:tab w:val="right" w:pos="10530" w:leader="none"/>
      </w:tabs>
      <w:spacing w:before="200" w:after="0"/>
      <w:ind w:firstLine="86" w:start="0" w:end="0"/>
      <w:jc w:val="both"/>
    </w:pPr>
    <w:rPr>
      <w:rFonts w:ascii="Arial" w:hAnsi="Arial" w:cs="Arial"/>
      <w:kern w:val="2"/>
      <w:szCs w:val="20"/>
      <w:lang w:val="en-CA" w:eastAsia="en-CA"/>
    </w:rPr>
  </w:style>
  <w:style w:type="paragraph" w:styleId="FootnoteText">
    <w:name w:val="footnote text"/>
    <w:basedOn w:val="Normal"/>
    <w:pPr>
      <w:tabs>
        <w:tab w:val="clear" w:pos="720"/>
        <w:tab w:val="center" w:pos="5130" w:leader="none"/>
        <w:tab w:val="right" w:pos="10530" w:leader="none"/>
      </w:tabs>
      <w:spacing w:before="200" w:after="0"/>
      <w:ind w:firstLine="86" w:start="0" w:end="0"/>
      <w:jc w:val="both"/>
    </w:pPr>
    <w:rPr>
      <w:rFonts w:ascii="Arial" w:hAnsi="Arial" w:cs="Arial"/>
      <w:kern w:val="2"/>
      <w:sz w:val="20"/>
      <w:szCs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580" w:leader="none"/>
        <w:tab w:val="right" w:pos="10440" w:leader="none"/>
        <w:tab w:val="left" w:pos="10530" w:leader="none"/>
      </w:tabs>
      <w:spacing w:before="200" w:after="0"/>
      <w:jc w:val="both"/>
    </w:pPr>
    <w:rPr>
      <w:rFonts w:ascii="Arial" w:hAnsi="Arial" w:cs="Arial"/>
      <w:kern w:val="2"/>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2001-08-06T10:49:00Z</dcterms:created>
  <dc:creator>akanji</dc:creator>
  <dc:description/>
  <dc:language>en-CA</dc:language>
  <cp:lastModifiedBy>akanji</cp:lastModifiedBy>
  <cp:lastPrinted>2001-07-25T13:16:00Z</cp:lastPrinted>
  <dcterms:modified xsi:type="dcterms:W3CDTF">2001-08-06T10:49:00Z</dcterms:modified>
  <cp:revision>2</cp:revision>
  <dc:subject/>
  <dc:title>Bowater</dc:title>
</cp:coreProperties>
</file>