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before="0" w:after="240"/>
        <w:jc w:val="center"/>
        <w:rPr>
          <w:b/>
        </w:rPr>
      </w:pPr>
      <w:r>
        <w:rPr>
          <w:b/>
        </w:rPr>
        <w:t>ENRON CANADA CORP.</w:t>
      </w:r>
    </w:p>
    <w:p>
      <w:pPr>
        <w:pStyle w:val="Normal"/>
        <w:suppressAutoHyphens w:val="true"/>
        <w:spacing w:before="0" w:after="480"/>
        <w:jc w:val="center"/>
        <w:rPr>
          <w:b/>
        </w:rPr>
      </w:pPr>
      <w:r>
        <w:rPr>
          <w:b/>
        </w:rPr>
        <w:t>GENERAL CORPORATE CERTIFICATE</w:t>
      </w:r>
    </w:p>
    <w:p>
      <w:pPr>
        <w:pStyle w:val="Normal"/>
        <w:suppressAutoHyphens w:val="true"/>
        <w:spacing w:before="0" w:after="240"/>
        <w:ind w:hanging="720" w:start="720" w:end="0"/>
        <w:rPr/>
      </w:pPr>
      <w:r>
        <w:rPr/>
        <w:t>TO:</w:t>
        <w:tab/>
        <w:tab/>
        <w:t>The Toronto-Dominion Bank</w:t>
      </w:r>
    </w:p>
    <w:p>
      <w:pPr>
        <w:pStyle w:val="Normal"/>
        <w:suppressAutoHyphens w:val="true"/>
        <w:spacing w:before="0" w:after="240"/>
        <w:ind w:hanging="720" w:start="720" w:end="0"/>
        <w:rPr/>
      </w:pPr>
      <w:r>
        <w:rPr/>
        <w:t>AND TO:</w:t>
        <w:tab/>
        <w:t>Blake, Cassels &amp; Graydon LLP</w:t>
      </w:r>
    </w:p>
    <w:p>
      <w:pPr>
        <w:pStyle w:val="Normal"/>
        <w:pBdr>
          <w:bottom w:val="double" w:sz="6" w:space="1" w:color="000000"/>
        </w:pBdr>
        <w:tabs>
          <w:tab w:val="left" w:pos="720" w:leader="none"/>
        </w:tabs>
        <w:suppressAutoHyphens w:val="true"/>
        <w:spacing w:before="0" w:after="480"/>
        <w:ind w:hanging="1440" w:start="1440" w:end="0"/>
        <w:rPr/>
      </w:pPr>
      <w:r>
        <w:rPr>
          <w:b/>
        </w:rPr>
        <w:t>RE:</w:t>
        <w:tab/>
        <w:tab/>
        <w:t xml:space="preserve">ISDA Master Agreement No. </w:t>
      </w:r>
      <w:r>
        <w:rPr>
          <w:b/>
          <w:u w:val="single"/>
        </w:rPr>
        <w:t xml:space="preserve">                      </w:t>
      </w:r>
      <w:r>
        <w:rPr>
          <w:b/>
        </w:rPr>
        <w:t xml:space="preserve"> (the “ISDA Agreement”) dated September 28, 2000 between The Toronto-Dominion Bank and Enron Canada Corp.</w:t>
      </w:r>
    </w:p>
    <w:p>
      <w:pPr>
        <w:pStyle w:val="BodyTextFirstIndent"/>
        <w:rPr/>
      </w:pPr>
      <w:r>
        <w:rPr/>
        <w:t>The undersigned, Gregory S. Johnston, being the Assistant Secretary of the Corporation, hereby certifies on behalf of Enron Canada Corp. (the “</w:t>
      </w:r>
      <w:r>
        <w:rPr>
          <w:b/>
        </w:rPr>
        <w:t>Corporation</w:t>
      </w:r>
      <w:r>
        <w:rPr/>
        <w:t>”) and not in his personal capacity:</w:t>
      </w:r>
    </w:p>
    <w:p>
      <w:pPr>
        <w:pStyle w:val="Standard2L1"/>
        <w:numPr>
          <w:ilvl w:val="0"/>
          <w:numId w:val="3"/>
        </w:numPr>
        <w:ind w:hanging="0" w:start="0"/>
        <w:rPr/>
      </w:pPr>
      <w:r>
        <w:rPr>
          <w:u w:val="single"/>
        </w:rPr>
        <w:t>Incorporation</w:t>
      </w:r>
      <w:r>
        <w:rPr/>
        <w:t>.  The Corporation has been duly constituted and organized and is a valid and subsisting Corporation under the laws of the Province of Alberta, and no acts or proceedings have been taken by the Corporation in connection with the dissolution, liquidation, winding up, bankruptcy or reorganization of the Corporation.</w:t>
      </w:r>
    </w:p>
    <w:p>
      <w:pPr>
        <w:pStyle w:val="Standard2L1"/>
        <w:numPr>
          <w:ilvl w:val="0"/>
          <w:numId w:val="2"/>
        </w:numPr>
        <w:ind w:hanging="0" w:start="0"/>
        <w:rPr/>
      </w:pPr>
      <w:r>
        <w:rPr>
          <w:u w:val="single"/>
        </w:rPr>
        <w:t>Constating Documents</w:t>
      </w:r>
      <w:r>
        <w:rPr/>
        <w:t>.  Attached hereto as Schedule “A” is a true and complete copy of the currently effective constating documents of the Corporation, being its constating articles and certificate, together with any amendments thereto or continuations thereof, these constating documents being in full force and effect as of the date hereof, and no proceedings have been taken or are pending to amend, supplement, surrender or cancel the same as of the date hereof.</w:t>
      </w:r>
    </w:p>
    <w:p>
      <w:pPr>
        <w:pStyle w:val="Standard2L1"/>
        <w:numPr>
          <w:ilvl w:val="0"/>
          <w:numId w:val="2"/>
        </w:numPr>
        <w:ind w:hanging="0" w:start="0"/>
        <w:rPr/>
      </w:pPr>
      <w:r>
        <w:rPr>
          <w:u w:val="single"/>
        </w:rPr>
        <w:t>By-Laws</w:t>
      </w:r>
      <w:r>
        <w:rPr/>
        <w:t>.  Attached hereto as Schedule “B” is a true and complete copy of all the by</w:t>
        <w:noBreakHyphen/>
        <w:t>laws of the Corporation, these by</w:t>
        <w:noBreakHyphen/>
        <w:t>laws being in full force and effect as of the date hereof and no proceedings have been taken or are pending to amend, supplement, surrender or cancel the same as of the date hereof.</w:t>
      </w:r>
    </w:p>
    <w:p>
      <w:pPr>
        <w:pStyle w:val="Standard2L1"/>
        <w:numPr>
          <w:ilvl w:val="0"/>
          <w:numId w:val="2"/>
        </w:numPr>
        <w:ind w:hanging="0" w:start="0"/>
        <w:rPr/>
      </w:pPr>
      <w:r>
        <w:rPr>
          <w:u w:val="single"/>
        </w:rPr>
        <w:t>Shareholders Agreement</w:t>
      </w:r>
      <w:r>
        <w:rPr/>
        <w:t>.  There is no shareholders agreement respecting the shares of the Corporation or any other agreement, resolution or other writing which in any way limits or restricts the powers of the directors of the Corporation to manage the business and affairs of the Corporation.</w:t>
      </w:r>
    </w:p>
    <w:p>
      <w:pPr>
        <w:pStyle w:val="Standard2L1"/>
        <w:numPr>
          <w:ilvl w:val="0"/>
          <w:numId w:val="2"/>
        </w:numPr>
        <w:ind w:hanging="0" w:start="0"/>
        <w:rPr/>
      </w:pPr>
      <w:r>
        <w:rPr>
          <w:u w:val="single"/>
        </w:rPr>
        <w:t>Corporate Authorization</w:t>
      </w:r>
      <w:r>
        <w:rPr/>
        <w:t>.  Attached hereto as Schedule “C” is a true and complete copy of the resolutions passed by the directors of the Corporation approving or ratifying, as applicable, the ISDA Agreement and the execution and delivery of the ISDA Agreement and any other amendments, certificates, instruments or other documents contemplated in the ISDA Agreement, these resolutions being in full force and effect unamended and no proceedings have been taken or are pending to amend, supplement or cancel the same as of the date hereof.</w:t>
      </w:r>
    </w:p>
    <w:p>
      <w:pPr>
        <w:pStyle w:val="Standard2L1"/>
        <w:numPr>
          <w:ilvl w:val="0"/>
          <w:numId w:val="2"/>
        </w:numPr>
        <w:ind w:hanging="0" w:start="0"/>
        <w:rPr>
          <w:lang w:val="en-GB"/>
        </w:rPr>
      </w:pPr>
      <w:r>
        <w:rPr>
          <w:u w:val="single"/>
          <w:lang w:val="en-GB"/>
        </w:rPr>
        <w:t>Incumbency</w:t>
      </w:r>
      <w:r>
        <w:rPr>
          <w:lang w:val="en-GB"/>
        </w:rPr>
        <w:t xml:space="preserve">.  </w:t>
      </w:r>
      <w:r>
        <w:rPr/>
        <w:t>The persons whose names appear below have been duly appointed to the offices the Corporation ascribed below to those persons and the signature placed opposite each name and office is the true signature of the person whose name appears opposite.</w:t>
      </w:r>
    </w:p>
    <w:tbl>
      <w:tblPr>
        <w:tblW w:w="9424" w:type="dxa"/>
        <w:jc w:val="center"/>
        <w:tblInd w:w="0" w:type="dxa"/>
        <w:tblLayout w:type="fixed"/>
        <w:tblCellMar>
          <w:top w:w="0" w:type="dxa"/>
          <w:start w:w="120" w:type="dxa"/>
          <w:bottom w:w="0" w:type="dxa"/>
          <w:end w:w="120" w:type="dxa"/>
        </w:tblCellMar>
      </w:tblPr>
      <w:tblGrid>
        <w:gridCol w:w="2691"/>
        <w:gridCol w:w="263"/>
        <w:gridCol w:w="2843"/>
        <w:gridCol w:w="270"/>
        <w:gridCol w:w="3357"/>
      </w:tblGrid>
      <w:tr>
        <w:trPr/>
        <w:tc>
          <w:tcPr>
            <w:tcW w:w="2691" w:type="dxa"/>
            <w:tcBorders/>
          </w:tcPr>
          <w:p>
            <w:pPr>
              <w:pStyle w:val="Normal"/>
              <w:suppressAutoHyphens w:val="true"/>
              <w:spacing w:before="0" w:after="54"/>
              <w:rPr>
                <w:color w:val="000000"/>
                <w:u w:val="single"/>
                <w:lang w:val="en-GB"/>
              </w:rPr>
            </w:pPr>
            <w:r>
              <w:rPr>
                <w:u w:val="single"/>
                <w:lang w:val="en-GB"/>
              </w:rPr>
              <w:t>NAME</w:t>
            </w:r>
          </w:p>
        </w:tc>
        <w:tc>
          <w:tcPr>
            <w:tcW w:w="263" w:type="dxa"/>
            <w:tcBorders/>
          </w:tcPr>
          <w:p>
            <w:pPr>
              <w:pStyle w:val="Normal"/>
              <w:suppressAutoHyphens w:val="true"/>
              <w:snapToGrid w:val="false"/>
              <w:spacing w:lineRule="auto" w:line="216" w:before="0" w:after="54"/>
              <w:rPr>
                <w:color w:val="000000"/>
                <w:u w:val="single"/>
                <w:lang w:val="en-GB"/>
              </w:rPr>
            </w:pPr>
            <w:r>
              <w:rPr>
                <w:color w:val="000000"/>
                <w:u w:val="single"/>
                <w:lang w:val="en-GB"/>
              </w:rPr>
            </w:r>
          </w:p>
        </w:tc>
        <w:tc>
          <w:tcPr>
            <w:tcW w:w="2843" w:type="dxa"/>
            <w:tcBorders/>
          </w:tcPr>
          <w:p>
            <w:pPr>
              <w:pStyle w:val="Normal"/>
              <w:suppressAutoHyphens w:val="true"/>
              <w:spacing w:before="0" w:after="54"/>
              <w:rPr>
                <w:color w:val="000000"/>
                <w:u w:val="single"/>
                <w:lang w:val="en-GB"/>
              </w:rPr>
            </w:pPr>
            <w:r>
              <w:rPr>
                <w:u w:val="single"/>
                <w:lang w:val="en-GB"/>
              </w:rPr>
              <w:t>OFFICE</w:t>
            </w:r>
          </w:p>
        </w:tc>
        <w:tc>
          <w:tcPr>
            <w:tcW w:w="270" w:type="dxa"/>
            <w:tcBorders/>
          </w:tcPr>
          <w:p>
            <w:pPr>
              <w:pStyle w:val="Normal"/>
              <w:suppressAutoHyphens w:val="true"/>
              <w:snapToGrid w:val="false"/>
              <w:spacing w:lineRule="auto" w:line="216" w:before="0" w:after="54"/>
              <w:rPr>
                <w:color w:val="000000"/>
                <w:u w:val="single"/>
                <w:lang w:val="en-GB"/>
              </w:rPr>
            </w:pPr>
            <w:r>
              <w:rPr>
                <w:color w:val="000000"/>
                <w:u w:val="single"/>
                <w:lang w:val="en-GB"/>
              </w:rPr>
            </w:r>
          </w:p>
        </w:tc>
        <w:tc>
          <w:tcPr>
            <w:tcW w:w="3357" w:type="dxa"/>
            <w:tcBorders/>
          </w:tcPr>
          <w:p>
            <w:pPr>
              <w:pStyle w:val="Normal"/>
              <w:suppressAutoHyphens w:val="true"/>
              <w:spacing w:before="0" w:after="54"/>
              <w:rPr>
                <w:color w:val="000000"/>
                <w:u w:val="single"/>
                <w:lang w:val="en-GB"/>
              </w:rPr>
            </w:pPr>
            <w:r>
              <w:rPr>
                <w:u w:val="single"/>
                <w:lang w:val="en-GB"/>
              </w:rPr>
              <w:t>SIGNATURE</w:t>
            </w:r>
          </w:p>
        </w:tc>
      </w:tr>
      <w:tr>
        <w:trPr/>
        <w:tc>
          <w:tcPr>
            <w:tcW w:w="2691" w:type="dxa"/>
            <w:tcBorders/>
          </w:tcPr>
          <w:p>
            <w:pPr>
              <w:pStyle w:val="Normal"/>
              <w:suppressAutoHyphens w:val="true"/>
              <w:snapToGrid w:val="false"/>
              <w:spacing w:before="0" w:after="54"/>
              <w:rPr>
                <w:color w:val="000000"/>
                <w:u w:val="single"/>
                <w:lang w:val="en-GB"/>
              </w:rPr>
            </w:pPr>
            <w:r>
              <w:rPr>
                <w:color w:val="000000"/>
                <w:u w:val="single"/>
                <w:lang w:val="en-GB"/>
              </w:rPr>
            </w:r>
          </w:p>
        </w:tc>
        <w:tc>
          <w:tcPr>
            <w:tcW w:w="263" w:type="dxa"/>
            <w:tcBorders/>
          </w:tcPr>
          <w:p>
            <w:pPr>
              <w:pStyle w:val="Normal"/>
              <w:suppressAutoHyphens w:val="true"/>
              <w:snapToGrid w:val="false"/>
              <w:spacing w:lineRule="auto" w:line="216" w:before="0" w:after="54"/>
              <w:rPr>
                <w:color w:val="000000"/>
                <w:lang w:val="en-GB"/>
              </w:rPr>
            </w:pPr>
            <w:r>
              <w:rPr>
                <w:color w:val="000000"/>
                <w:lang w:val="en-GB"/>
              </w:rPr>
            </w:r>
          </w:p>
        </w:tc>
        <w:tc>
          <w:tcPr>
            <w:tcW w:w="2843" w:type="dxa"/>
            <w:tcBorders/>
          </w:tcPr>
          <w:p>
            <w:pPr>
              <w:pStyle w:val="Normal"/>
              <w:suppressAutoHyphens w:val="true"/>
              <w:snapToGrid w:val="false"/>
              <w:spacing w:before="0" w:after="54"/>
              <w:rPr>
                <w:color w:val="000000"/>
                <w:lang w:val="en-GB"/>
              </w:rPr>
            </w:pPr>
            <w:r>
              <w:rPr>
                <w:color w:val="000000"/>
                <w:lang w:val="en-GB"/>
              </w:rPr>
            </w:r>
          </w:p>
        </w:tc>
        <w:tc>
          <w:tcPr>
            <w:tcW w:w="270" w:type="dxa"/>
            <w:tcBorders/>
          </w:tcPr>
          <w:p>
            <w:pPr>
              <w:pStyle w:val="Normal"/>
              <w:suppressAutoHyphens w:val="true"/>
              <w:snapToGrid w:val="false"/>
              <w:spacing w:lineRule="auto" w:line="216" w:before="0" w:after="54"/>
              <w:rPr>
                <w:color w:val="000000"/>
                <w:lang w:val="en-GB"/>
              </w:rPr>
            </w:pPr>
            <w:r>
              <w:rPr>
                <w:color w:val="000000"/>
                <w:lang w:val="en-GB"/>
              </w:rPr>
            </w:r>
          </w:p>
        </w:tc>
        <w:tc>
          <w:tcPr>
            <w:tcW w:w="3357" w:type="dxa"/>
            <w:tcBorders/>
          </w:tcPr>
          <w:p>
            <w:pPr>
              <w:pStyle w:val="Normal"/>
              <w:suppressAutoHyphens w:val="true"/>
              <w:snapToGrid w:val="false"/>
              <w:spacing w:lineRule="auto" w:line="216" w:before="0" w:after="54"/>
              <w:rPr>
                <w:color w:val="000000"/>
                <w:lang w:val="en-GB"/>
              </w:rPr>
            </w:pPr>
            <w:r>
              <w:rPr>
                <w:color w:val="000000"/>
                <w:lang w:val="en-GB"/>
              </w:rPr>
            </w:r>
          </w:p>
        </w:tc>
      </w:tr>
      <w:tr>
        <w:trPr/>
        <w:tc>
          <w:tcPr>
            <w:tcW w:w="2691" w:type="dxa"/>
            <w:tcBorders/>
          </w:tcPr>
          <w:p>
            <w:pPr>
              <w:pStyle w:val="Normal"/>
              <w:suppressAutoHyphens w:val="true"/>
              <w:spacing w:before="0" w:after="54"/>
              <w:rPr>
                <w:color w:val="000000"/>
                <w:lang w:val="en-GB"/>
              </w:rPr>
            </w:pPr>
            <w:r>
              <w:rPr>
                <w:color w:val="000000"/>
                <w:lang w:val="en-GB"/>
              </w:rPr>
              <w:t>P. Robson Milnthorp</w:t>
            </w:r>
          </w:p>
        </w:tc>
        <w:tc>
          <w:tcPr>
            <w:tcW w:w="263" w:type="dxa"/>
            <w:tcBorders/>
          </w:tcPr>
          <w:p>
            <w:pPr>
              <w:pStyle w:val="Normal"/>
              <w:suppressAutoHyphens w:val="true"/>
              <w:snapToGrid w:val="false"/>
              <w:spacing w:lineRule="auto" w:line="216" w:before="0" w:after="54"/>
              <w:rPr>
                <w:color w:val="000000"/>
                <w:lang w:val="en-GB"/>
              </w:rPr>
            </w:pPr>
            <w:r>
              <w:rPr>
                <w:color w:val="000000"/>
                <w:lang w:val="en-GB"/>
              </w:rPr>
            </w:r>
          </w:p>
        </w:tc>
        <w:tc>
          <w:tcPr>
            <w:tcW w:w="2843" w:type="dxa"/>
            <w:tcBorders/>
          </w:tcPr>
          <w:p>
            <w:pPr>
              <w:pStyle w:val="Normal"/>
              <w:suppressAutoHyphens w:val="true"/>
              <w:spacing w:before="0" w:after="54"/>
              <w:jc w:val="start"/>
              <w:rPr>
                <w:color w:val="000000"/>
                <w:lang w:val="en-GB"/>
              </w:rPr>
            </w:pPr>
            <w:r>
              <w:rPr>
                <w:color w:val="000000"/>
                <w:lang w:val="en-GB"/>
              </w:rPr>
              <w:t>President and</w:t>
              <w:br/>
              <w:t>Chief Executive Officer</w:t>
            </w:r>
          </w:p>
        </w:tc>
        <w:tc>
          <w:tcPr>
            <w:tcW w:w="270" w:type="dxa"/>
            <w:tcBorders/>
          </w:tcPr>
          <w:p>
            <w:pPr>
              <w:pStyle w:val="Normal"/>
              <w:suppressAutoHyphens w:val="true"/>
              <w:snapToGrid w:val="false"/>
              <w:spacing w:lineRule="auto" w:line="216" w:before="0" w:after="54"/>
              <w:rPr>
                <w:color w:val="000000"/>
                <w:lang w:val="en-GB"/>
              </w:rPr>
            </w:pPr>
            <w:r>
              <w:rPr>
                <w:color w:val="000000"/>
                <w:lang w:val="en-GB"/>
              </w:rPr>
            </w:r>
          </w:p>
        </w:tc>
        <w:tc>
          <w:tcPr>
            <w:tcW w:w="3357" w:type="dxa"/>
            <w:tcBorders>
              <w:bottom w:val="single" w:sz="4" w:space="0" w:color="000000"/>
            </w:tcBorders>
          </w:tcPr>
          <w:p>
            <w:pPr>
              <w:pStyle w:val="Normal"/>
              <w:suppressAutoHyphens w:val="true"/>
              <w:snapToGrid w:val="false"/>
              <w:spacing w:lineRule="auto" w:line="216" w:before="0" w:after="54"/>
              <w:rPr>
                <w:color w:val="000000"/>
                <w:lang w:val="en-GB"/>
              </w:rPr>
            </w:pPr>
            <w:r>
              <w:rPr>
                <w:color w:val="000000"/>
                <w:lang w:val="en-GB"/>
              </w:rPr>
            </w:r>
          </w:p>
        </w:tc>
      </w:tr>
      <w:tr>
        <w:trPr/>
        <w:tc>
          <w:tcPr>
            <w:tcW w:w="2691" w:type="dxa"/>
            <w:tcBorders/>
          </w:tcPr>
          <w:p>
            <w:pPr>
              <w:pStyle w:val="Normal"/>
              <w:suppressAutoHyphens w:val="true"/>
              <w:snapToGrid w:val="false"/>
              <w:spacing w:before="0" w:after="54"/>
              <w:rPr>
                <w:color w:val="000000"/>
                <w:lang w:val="en-GB"/>
              </w:rPr>
            </w:pPr>
            <w:r>
              <w:rPr>
                <w:color w:val="000000"/>
                <w:lang w:val="en-GB"/>
              </w:rPr>
            </w:r>
          </w:p>
        </w:tc>
        <w:tc>
          <w:tcPr>
            <w:tcW w:w="263" w:type="dxa"/>
            <w:tcBorders/>
          </w:tcPr>
          <w:p>
            <w:pPr>
              <w:pStyle w:val="Normal"/>
              <w:suppressAutoHyphens w:val="true"/>
              <w:snapToGrid w:val="false"/>
              <w:spacing w:lineRule="auto" w:line="216" w:before="0" w:after="54"/>
              <w:rPr>
                <w:color w:val="000000"/>
                <w:lang w:val="en-GB"/>
              </w:rPr>
            </w:pPr>
            <w:r>
              <w:rPr>
                <w:color w:val="000000"/>
                <w:lang w:val="en-GB"/>
              </w:rPr>
            </w:r>
          </w:p>
        </w:tc>
        <w:tc>
          <w:tcPr>
            <w:tcW w:w="2843" w:type="dxa"/>
            <w:tcBorders/>
          </w:tcPr>
          <w:p>
            <w:pPr>
              <w:pStyle w:val="Normal"/>
              <w:suppressAutoHyphens w:val="true"/>
              <w:snapToGrid w:val="false"/>
              <w:spacing w:before="0" w:after="54"/>
              <w:rPr>
                <w:color w:val="000000"/>
                <w:lang w:val="en-GB"/>
              </w:rPr>
            </w:pPr>
            <w:r>
              <w:rPr>
                <w:color w:val="000000"/>
                <w:lang w:val="en-GB"/>
              </w:rPr>
            </w:r>
          </w:p>
        </w:tc>
        <w:tc>
          <w:tcPr>
            <w:tcW w:w="270" w:type="dxa"/>
            <w:tcBorders/>
          </w:tcPr>
          <w:p>
            <w:pPr>
              <w:pStyle w:val="Normal"/>
              <w:suppressAutoHyphens w:val="true"/>
              <w:snapToGrid w:val="false"/>
              <w:spacing w:lineRule="auto" w:line="216" w:before="0" w:after="54"/>
              <w:rPr>
                <w:color w:val="000000"/>
                <w:lang w:val="en-GB"/>
              </w:rPr>
            </w:pPr>
            <w:r>
              <w:rPr>
                <w:color w:val="000000"/>
                <w:lang w:val="en-GB"/>
              </w:rPr>
            </w:r>
          </w:p>
        </w:tc>
        <w:tc>
          <w:tcPr>
            <w:tcW w:w="3357" w:type="dxa"/>
            <w:tcBorders/>
          </w:tcPr>
          <w:p>
            <w:pPr>
              <w:pStyle w:val="Normal"/>
              <w:suppressAutoHyphens w:val="true"/>
              <w:snapToGrid w:val="false"/>
              <w:spacing w:lineRule="auto" w:line="216" w:before="0" w:after="54"/>
              <w:rPr>
                <w:color w:val="000000"/>
                <w:lang w:val="en-GB"/>
              </w:rPr>
            </w:pPr>
            <w:r>
              <w:rPr>
                <w:color w:val="000000"/>
                <w:lang w:val="en-GB"/>
              </w:rPr>
            </w:r>
          </w:p>
        </w:tc>
      </w:tr>
      <w:tr>
        <w:trPr/>
        <w:tc>
          <w:tcPr>
            <w:tcW w:w="2691" w:type="dxa"/>
            <w:tcBorders/>
          </w:tcPr>
          <w:p>
            <w:pPr>
              <w:pStyle w:val="Normal"/>
              <w:suppressAutoHyphens w:val="true"/>
              <w:spacing w:before="0" w:after="54"/>
              <w:rPr>
                <w:color w:val="000000"/>
                <w:lang w:val="en-GB"/>
              </w:rPr>
            </w:pPr>
            <w:r>
              <w:rPr/>
              <w:t>Gregory S. Johnston</w:t>
            </w:r>
          </w:p>
        </w:tc>
        <w:tc>
          <w:tcPr>
            <w:tcW w:w="263" w:type="dxa"/>
            <w:tcBorders/>
          </w:tcPr>
          <w:p>
            <w:pPr>
              <w:pStyle w:val="Normal"/>
              <w:suppressAutoHyphens w:val="true"/>
              <w:snapToGrid w:val="false"/>
              <w:spacing w:lineRule="auto" w:line="216" w:before="0" w:after="54"/>
              <w:rPr>
                <w:color w:val="000000"/>
                <w:lang w:val="en-GB"/>
              </w:rPr>
            </w:pPr>
            <w:r>
              <w:rPr>
                <w:color w:val="000000"/>
                <w:lang w:val="en-GB"/>
              </w:rPr>
            </w:r>
          </w:p>
        </w:tc>
        <w:tc>
          <w:tcPr>
            <w:tcW w:w="2843" w:type="dxa"/>
            <w:tcBorders/>
          </w:tcPr>
          <w:p>
            <w:pPr>
              <w:pStyle w:val="Normal"/>
              <w:suppressAutoHyphens w:val="true"/>
              <w:spacing w:before="0" w:after="54"/>
              <w:jc w:val="start"/>
              <w:rPr>
                <w:color w:val="000000"/>
                <w:lang w:val="en-GB"/>
              </w:rPr>
            </w:pPr>
            <w:r>
              <w:rPr>
                <w:color w:val="000000"/>
                <w:lang w:val="en-GB"/>
              </w:rPr>
              <w:t>Assistant Secretary</w:t>
            </w:r>
          </w:p>
        </w:tc>
        <w:tc>
          <w:tcPr>
            <w:tcW w:w="270" w:type="dxa"/>
            <w:tcBorders/>
          </w:tcPr>
          <w:p>
            <w:pPr>
              <w:pStyle w:val="Normal"/>
              <w:suppressAutoHyphens w:val="true"/>
              <w:snapToGrid w:val="false"/>
              <w:spacing w:lineRule="auto" w:line="216" w:before="0" w:after="54"/>
              <w:rPr>
                <w:color w:val="000000"/>
                <w:lang w:val="en-GB"/>
              </w:rPr>
            </w:pPr>
            <w:r>
              <w:rPr>
                <w:color w:val="000000"/>
                <w:lang w:val="en-GB"/>
              </w:rPr>
            </w:r>
          </w:p>
        </w:tc>
        <w:tc>
          <w:tcPr>
            <w:tcW w:w="3357" w:type="dxa"/>
            <w:tcBorders>
              <w:bottom w:val="single" w:sz="4" w:space="0" w:color="000000"/>
            </w:tcBorders>
          </w:tcPr>
          <w:p>
            <w:pPr>
              <w:pStyle w:val="Normal"/>
              <w:suppressAutoHyphens w:val="true"/>
              <w:snapToGrid w:val="false"/>
              <w:spacing w:lineRule="auto" w:line="216" w:before="0" w:after="54"/>
              <w:rPr>
                <w:color w:val="000000"/>
                <w:lang w:val="en-GB"/>
              </w:rPr>
            </w:pPr>
            <w:r>
              <w:rPr>
                <w:color w:val="000000"/>
                <w:lang w:val="en-GB"/>
              </w:rPr>
            </w:r>
          </w:p>
        </w:tc>
      </w:tr>
    </w:tbl>
    <w:p>
      <w:pPr>
        <w:pStyle w:val="Normal"/>
        <w:rPr>
          <w:lang w:val="en-GB"/>
        </w:rPr>
      </w:pPr>
      <w:r>
        <w:rPr>
          <w:lang w:val="en-GB"/>
        </w:rPr>
      </w:r>
    </w:p>
    <w:p>
      <w:pPr>
        <w:pStyle w:val="Standard2L1"/>
        <w:numPr>
          <w:ilvl w:val="0"/>
          <w:numId w:val="2"/>
        </w:numPr>
        <w:ind w:hanging="0" w:start="0"/>
        <w:rPr/>
      </w:pPr>
      <w:r>
        <w:rPr>
          <w:u w:val="single"/>
        </w:rPr>
        <w:t>No Litigation</w:t>
      </w:r>
      <w:r>
        <w:rPr/>
        <w:t>.  To the best of my knowledge, information and belief there are no (i) actions, suits, or proceedings pending against the Corporation, (ii) agreements with any third party, and (iii) decrees, orders, regulations, statutes or other restrictions whatsoever imposed by any court, governmental body or other entity having jurisdiction which would hinder or restrict the Corporation from completing the ISDA Agreement or performing its obligations under the ISDA Agreement.</w:t>
      </w:r>
    </w:p>
    <w:p>
      <w:pPr>
        <w:pStyle w:val="BodyTextFirstIndent"/>
        <w:rPr/>
      </w:pPr>
      <w:r>
        <w:rPr>
          <w:b/>
        </w:rPr>
        <w:t>THIS GENERAL CORPORATE CERTIFICATE</w:t>
      </w:r>
      <w:r>
        <w:rPr/>
        <w:t xml:space="preserve"> executed at Calgary, Alberta effective the 28</w:t>
      </w:r>
      <w:r>
        <w:rPr>
          <w:vertAlign w:val="superscript"/>
        </w:rPr>
        <w:t>th</w:t>
      </w:r>
      <w:r>
        <w:rPr>
          <w:b/>
        </w:rPr>
        <w:t xml:space="preserve"> </w:t>
      </w:r>
      <w:r>
        <w:rPr/>
        <w:t>day of September, 2000.</w:t>
      </w:r>
    </w:p>
    <w:p>
      <w:pPr>
        <w:pStyle w:val="Normal"/>
        <w:rPr/>
      </w:pPr>
      <w:r>
        <w:rPr/>
      </w:r>
    </w:p>
    <w:p>
      <w:pPr>
        <w:pStyle w:val="Normal"/>
        <w:rPr/>
      </w:pPr>
      <w:r>
        <w:rPr/>
      </w:r>
    </w:p>
    <w:p>
      <w:pPr>
        <w:pStyle w:val="Normal"/>
        <w:rPr/>
      </w:pPr>
      <w:r>
        <w:rPr/>
      </w:r>
    </w:p>
    <w:p>
      <w:pPr>
        <w:pStyle w:val="Normal"/>
        <w:tabs>
          <w:tab w:val="clear" w:pos="720"/>
          <w:tab w:val="right" w:pos="9360" w:leader="underscore"/>
        </w:tabs>
        <w:suppressAutoHyphens w:val="true"/>
        <w:ind w:start="5040" w:end="0"/>
        <w:rPr/>
      </w:pPr>
      <w:r>
        <w:rPr/>
        <w:t xml:space="preserve">By: </w:t>
        <w:tab/>
      </w:r>
    </w:p>
    <w:p>
      <w:pPr>
        <w:pStyle w:val="Normal"/>
        <w:suppressAutoHyphens w:val="true"/>
        <w:ind w:start="5040" w:end="0"/>
        <w:rPr/>
      </w:pPr>
      <w:r>
        <w:rPr/>
        <w:t>Name:</w:t>
        <w:tab/>
        <w:t>Gregory S. Johnston</w:t>
      </w:r>
    </w:p>
    <w:p>
      <w:pPr>
        <w:pStyle w:val="Normal"/>
        <w:suppressAutoHyphens w:val="true"/>
        <w:ind w:start="5040" w:end="0"/>
        <w:rPr/>
      </w:pPr>
      <w:r>
        <w:rPr/>
        <w:t>Title:</w:t>
        <w:tab/>
        <w:t>Assistant Secretary</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Normal"/>
        <w:suppressAutoHyphens w:val="true"/>
        <w:spacing w:before="0" w:after="240"/>
        <w:jc w:val="center"/>
        <w:rPr/>
      </w:pPr>
      <w:r>
        <w:rPr/>
        <w:t>SCHEDULE “A”</w:t>
      </w:r>
    </w:p>
    <w:p>
      <w:pPr>
        <w:pStyle w:val="Normal"/>
        <w:suppressAutoHyphens w:val="true"/>
        <w:jc w:val="center"/>
        <w:rPr>
          <w:b/>
        </w:rPr>
      </w:pPr>
      <w:r>
        <w:rPr>
          <w:b/>
        </w:rPr>
        <w:t>CONSTATING DOCUMENTS</w:t>
      </w:r>
    </w:p>
    <w:p>
      <w:pPr>
        <w:pStyle w:val="Normal"/>
        <w:rPr/>
      </w:pPr>
      <w:r>
        <w:rPr/>
      </w:r>
    </w:p>
    <w:p>
      <w:pPr>
        <w:pStyle w:val="Normal"/>
        <w:rPr/>
      </w:pPr>
      <w:r>
        <w:rPr/>
      </w:r>
    </w:p>
    <w:p>
      <w:pPr>
        <w:pStyle w:val="Normal"/>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Normal"/>
        <w:suppressAutoHyphens w:val="true"/>
        <w:spacing w:before="0" w:after="240"/>
        <w:jc w:val="center"/>
        <w:rPr/>
      </w:pPr>
      <w:r>
        <w:rPr/>
        <w:t>SCHEDULE “B”</w:t>
      </w:r>
    </w:p>
    <w:p>
      <w:pPr>
        <w:pStyle w:val="Normal"/>
        <w:suppressAutoHyphens w:val="true"/>
        <w:jc w:val="center"/>
        <w:rPr>
          <w:b/>
        </w:rPr>
      </w:pPr>
      <w:r>
        <w:rPr>
          <w:b/>
        </w:rPr>
        <w:t>BY-LAWS</w:t>
      </w:r>
    </w:p>
    <w:p>
      <w:pPr>
        <w:pStyle w:val="Normal"/>
        <w:rPr/>
      </w:pPr>
      <w:r>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Normal"/>
        <w:suppressAutoHyphens w:val="true"/>
        <w:spacing w:before="0" w:after="240"/>
        <w:jc w:val="center"/>
        <w:rPr/>
      </w:pPr>
      <w:r>
        <w:rPr/>
        <w:t>SCHEDULE “C”</w:t>
      </w:r>
    </w:p>
    <w:p>
      <w:pPr>
        <w:pStyle w:val="Normal"/>
        <w:suppressAutoHyphens w:val="true"/>
        <w:jc w:val="center"/>
        <w:rPr>
          <w:b/>
        </w:rPr>
      </w:pPr>
      <w:r>
        <w:rPr>
          <w:b/>
        </w:rPr>
        <w:t>RESOLUTIONS</w:t>
      </w:r>
    </w:p>
    <w:p>
      <w:pPr>
        <w:pStyle w:val="Normal"/>
        <w:rPr/>
      </w:pPr>
      <w:r>
        <w:rPr/>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30332324.3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30332324.3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30332324.3</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30332324.3</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30332324.3</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30332324.3</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30332324.3</w:t>
    </w:r>
    <w: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30332324.3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2</w:t>
    </w:r>
    <w:r>
      <w:rPr/>
      <w:fldChar w:fldCharType="end"/>
    </w:r>
    <w:r>
      <w:rPr/>
      <w:t xml:space="preserve"> -</w:t>
    </w:r>
  </w:p>
  <w:p>
    <w:pPr>
      <w:pStyle w:val="Header"/>
      <w:jc w:val="end"/>
      <w:rPr/>
    </w:pPr>
    <w:r>
      <w:rPr/>
    </w:r>
  </w:p>
  <w:p>
    <w:pPr>
      <w:pStyle w:val="Header"/>
      <w:jc w:val="start"/>
      <w:rPr/>
    </w:pPr>
    <w:r>
      <w:rPr/>
    </w:r>
  </w:p>
  <w:p>
    <w:pPr>
      <w:pStyle w:val="Header"/>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sz w:val="20"/>
      </w:rPr>
    </w:pPr>
    <w:r>
      <w:rPr>
        <w:i/>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0</w:t>
    </w:r>
    <w:r>
      <w:rPr/>
      <w:fldChar w:fldCharType="end"/>
    </w:r>
    <w:r>
      <w:rPr/>
      <w:t xml:space="preserve"> -</w:t>
    </w:r>
  </w:p>
  <w:p>
    <w:pPr>
      <w:pStyle w:val="Header"/>
      <w:jc w:val="end"/>
      <w:rPr/>
    </w:pPr>
    <w:r>
      <w:rPr/>
    </w:r>
  </w:p>
  <w:p>
    <w:pPr>
      <w:pStyle w:val="Header"/>
      <w:jc w:val="start"/>
      <w:rPr/>
    </w:pPr>
    <w:r>
      <w:rPr/>
    </w:r>
  </w:p>
  <w:p>
    <w:pPr>
      <w:pStyle w:val="Header"/>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sz w:val="20"/>
      </w:rPr>
    </w:pPr>
    <w:r>
      <w:rPr>
        <w:i/>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0</w:t>
    </w:r>
    <w:r>
      <w:rPr/>
      <w:fldChar w:fldCharType="end"/>
    </w:r>
    <w:r>
      <w:rPr/>
      <w:t xml:space="preserve"> -</w:t>
    </w:r>
  </w:p>
  <w:p>
    <w:pPr>
      <w:pStyle w:val="Header"/>
      <w:jc w:val="end"/>
      <w:rPr/>
    </w:pPr>
    <w:r>
      <w:rPr/>
    </w:r>
  </w:p>
  <w:p>
    <w:pPr>
      <w:pStyle w:val="Header"/>
      <w:jc w:val="start"/>
      <w:rPr/>
    </w:pPr>
    <w:r>
      <w:rPr/>
    </w:r>
  </w:p>
  <w:p>
    <w:pPr>
      <w:pStyle w:val="Header"/>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sz w:val="20"/>
      </w:rPr>
    </w:pPr>
    <w:r>
      <w:rPr>
        <w:i/>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0</w:t>
    </w:r>
    <w:r>
      <w:rPr/>
      <w:fldChar w:fldCharType="end"/>
    </w:r>
    <w:r>
      <w:rPr/>
      <w:t xml:space="preserve"> -</w:t>
    </w:r>
  </w:p>
  <w:p>
    <w:pPr>
      <w:pStyle w:val="Header"/>
      <w:jc w:val="end"/>
      <w:rPr/>
    </w:pPr>
    <w:r>
      <w:rPr/>
    </w:r>
  </w:p>
  <w:p>
    <w:pPr>
      <w:pStyle w:val="Header"/>
      <w:jc w:val="start"/>
      <w:rPr/>
    </w:pPr>
    <w:r>
      <w:rPr/>
    </w:r>
  </w:p>
  <w:p>
    <w:pPr>
      <w:pStyle w:val="Header"/>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sz w:val="20"/>
      </w:rPr>
    </w:pPr>
    <w:r>
      <w:rPr>
        <w:i/>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Roman"/>
      <w:lvlText w:val="%5."/>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2"/>
    <w:lvlOverride w:ilvl="0">
      <w:startOverride w:val="1"/>
    </w:lvlOverride>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outlineLvl w:val="0"/>
    </w:pPr>
    <w:rPr>
      <w:b/>
    </w:rPr>
  </w:style>
  <w:style w:type="paragraph" w:styleId="Heading2">
    <w:name w:val="heading 2"/>
    <w:basedOn w:val="Normal"/>
    <w:next w:val="BodyText"/>
    <w:qFormat/>
    <w:pPr>
      <w:keepNext w:val="true"/>
      <w:numPr>
        <w:ilvl w:val="1"/>
        <w:numId w:val="1"/>
      </w:numPr>
      <w:outlineLvl w:val="1"/>
    </w:pPr>
    <w:rPr>
      <w:b/>
    </w:rPr>
  </w:style>
  <w:style w:type="paragraph" w:styleId="Heading3">
    <w:name w:val="heading 3"/>
    <w:basedOn w:val="Normal"/>
    <w:next w:val="BodyText"/>
    <w:qFormat/>
    <w:pPr>
      <w:numPr>
        <w:ilvl w:val="2"/>
        <w:numId w:val="1"/>
      </w:numPr>
      <w:outlineLvl w:val="2"/>
    </w:pPr>
    <w:rPr>
      <w:b/>
    </w:rPr>
  </w:style>
  <w:style w:type="paragraph" w:styleId="Heading4">
    <w:name w:val="heading 4"/>
    <w:basedOn w:val="Normal"/>
    <w:next w:val="BodyText"/>
    <w:qFormat/>
    <w:pPr>
      <w:numPr>
        <w:ilvl w:val="3"/>
        <w:numId w:val="1"/>
      </w:numPr>
      <w:outlineLvl w:val="3"/>
    </w:pPr>
    <w:rPr>
      <w:b/>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outlineLvl w:val="5"/>
    </w:pPr>
    <w:rPr>
      <w:b/>
    </w:rPr>
  </w:style>
  <w:style w:type="paragraph" w:styleId="Heading7">
    <w:name w:val="heading 7"/>
    <w:basedOn w:val="Normal"/>
    <w:next w:val="BodyText"/>
    <w:qFormat/>
    <w:pPr>
      <w:numPr>
        <w:ilvl w:val="6"/>
        <w:numId w:val="1"/>
      </w:numPr>
      <w:outlineLvl w:val="6"/>
    </w:pPr>
    <w:rPr>
      <w:b/>
    </w:rPr>
  </w:style>
  <w:style w:type="paragraph" w:styleId="Heading8">
    <w:name w:val="heading 8"/>
    <w:basedOn w:val="Normal"/>
    <w:next w:val="BodyText"/>
    <w:qFormat/>
    <w:pPr>
      <w:numPr>
        <w:ilvl w:val="7"/>
        <w:numId w:val="1"/>
      </w:numPr>
      <w:outlineLvl w:val="7"/>
    </w:pPr>
    <w:rPr>
      <w:b/>
    </w:rPr>
  </w:style>
  <w:style w:type="paragraph" w:styleId="Heading9">
    <w:name w:val="heading 9"/>
    <w:basedOn w:val="Normal"/>
    <w:next w:val="BodyText"/>
    <w:qFormat/>
    <w:pPr>
      <w:numPr>
        <w:ilvl w:val="8"/>
        <w:numId w:val="1"/>
      </w:numPr>
      <w:outlineLvl w:val="8"/>
    </w:pPr>
    <w:rPr>
      <w:b/>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Title01">
    <w:name w:val="Title01"/>
    <w:basedOn w:val="DefaultParagraphFont"/>
    <w:qFormat/>
    <w:rPr>
      <w:u w:val="single"/>
    </w:rPr>
  </w:style>
  <w:style w:type="character" w:styleId="Title02">
    <w:name w:val="Title02"/>
    <w:basedOn w:val="DefaultParagraphFont"/>
    <w:qFormat/>
    <w:rPr>
      <w:caps/>
    </w:rPr>
  </w:style>
  <w:style w:type="character" w:styleId="Title03">
    <w:name w:val="Title03"/>
    <w:basedOn w:val="DefaultParagraphFont"/>
    <w:qFormat/>
    <w:rPr>
      <w:caps/>
      <w:u w:val="single"/>
    </w:rPr>
  </w:style>
  <w:style w:type="character" w:styleId="Title04">
    <w:name w:val="Title04"/>
    <w:basedOn w:val="DefaultParagraphFont"/>
    <w:qFormat/>
    <w:rPr>
      <w:b/>
    </w:rPr>
  </w:style>
  <w:style w:type="character" w:styleId="Title05">
    <w:name w:val="Title05"/>
    <w:basedOn w:val="DefaultParagraphFont"/>
    <w:qFormat/>
    <w:rPr>
      <w:b/>
      <w:u w:val="single"/>
    </w:rPr>
  </w:style>
  <w:style w:type="character" w:styleId="Title06">
    <w:name w:val="Title06"/>
    <w:basedOn w:val="DefaultParagraphFont"/>
    <w:qFormat/>
    <w:rPr>
      <w:b/>
      <w:caps/>
    </w:rPr>
  </w:style>
  <w:style w:type="character" w:styleId="Title07">
    <w:name w:val="Title07"/>
    <w:basedOn w:val="DefaultParagraphFont"/>
    <w:qFormat/>
    <w:rPr>
      <w:b/>
      <w:caps/>
      <w:u w:val="single"/>
    </w:rPr>
  </w:style>
  <w:style w:type="character" w:styleId="Title08">
    <w:name w:val="Title08"/>
    <w:basedOn w:val="DefaultParagraphFont"/>
    <w:qFormat/>
    <w:rPr>
      <w:i/>
    </w:rPr>
  </w:style>
  <w:style w:type="character" w:styleId="Title09">
    <w:name w:val="Title09"/>
    <w:basedOn w:val="DefaultParagraphFont"/>
    <w:qFormat/>
    <w:rPr>
      <w:b/>
      <w:i/>
    </w:rPr>
  </w:style>
  <w:style w:type="character" w:styleId="Title10">
    <w:name w:val="Title10"/>
    <w:basedOn w:val="DefaultParagraphFont"/>
    <w:qFormat/>
    <w:rPr>
      <w:b/>
      <w:i/>
      <w:u w:val="single"/>
    </w:rPr>
  </w:style>
  <w:style w:type="character" w:styleId="Title11">
    <w:name w:val="Title11"/>
    <w:basedOn w:val="DefaultParagraphFont"/>
    <w:qFormat/>
    <w:rPr>
      <w:b/>
      <w:i/>
      <w:caps/>
    </w:rPr>
  </w:style>
  <w:style w:type="character" w:styleId="Title12">
    <w:name w:val="Title12"/>
    <w:basedOn w:val="DefaultParagraphFont"/>
    <w:qFormat/>
    <w:rPr>
      <w:b/>
      <w:i/>
      <w:caps/>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 w:type="paragraph" w:styleId="Signature">
    <w:name w:val="Signature"/>
    <w:basedOn w:val="Normal"/>
    <w:pPr>
      <w:ind w:hanging="0" w:start="4320" w:end="0"/>
    </w:pPr>
    <w:rPr/>
  </w:style>
  <w:style w:type="paragraph" w:styleId="Standard2L1">
    <w:name w:val="Standard2_L1"/>
    <w:basedOn w:val="Normal"/>
    <w:next w:val="Normal"/>
    <w:qFormat/>
    <w:pPr>
      <w:numPr>
        <w:ilvl w:val="0"/>
        <w:numId w:val="2"/>
      </w:numPr>
      <w:tabs>
        <w:tab w:val="left" w:pos="720" w:leader="none"/>
      </w:tabs>
      <w:spacing w:before="0" w:after="240"/>
      <w:outlineLvl w:val="0"/>
    </w:pPr>
    <w:rPr>
      <w:lang w:val="en-US"/>
    </w:rPr>
  </w:style>
  <w:style w:type="paragraph" w:styleId="Standard2L2">
    <w:name w:val="Standard2_L2"/>
    <w:basedOn w:val="Standard2L1"/>
    <w:next w:val="Normal"/>
    <w:qFormat/>
    <w:pPr>
      <w:numPr>
        <w:ilvl w:val="0"/>
        <w:numId w:val="2"/>
      </w:numPr>
      <w:tabs>
        <w:tab w:val="left" w:pos="360" w:leader="none"/>
        <w:tab w:val="left" w:pos="720" w:leader="none"/>
      </w:tabs>
      <w:outlineLvl w:val="1"/>
    </w:pPr>
    <w:rPr/>
  </w:style>
  <w:style w:type="paragraph" w:styleId="Standard2L3">
    <w:name w:val="Standard2_L3"/>
    <w:basedOn w:val="Standard2L2"/>
    <w:next w:val="Normal"/>
    <w:qFormat/>
    <w:pPr>
      <w:numPr>
        <w:ilvl w:val="0"/>
        <w:numId w:val="2"/>
      </w:numPr>
      <w:outlineLvl w:val="2"/>
    </w:pPr>
    <w:rPr/>
  </w:style>
  <w:style w:type="paragraph" w:styleId="Standard2L4">
    <w:name w:val="Standard2_L4"/>
    <w:basedOn w:val="Standard2L3"/>
    <w:next w:val="Normal"/>
    <w:qFormat/>
    <w:pPr>
      <w:numPr>
        <w:ilvl w:val="0"/>
        <w:numId w:val="2"/>
      </w:numPr>
      <w:outlineLvl w:val="3"/>
    </w:pPr>
    <w:rPr/>
  </w:style>
  <w:style w:type="paragraph" w:styleId="Standard2L5">
    <w:name w:val="Standard2_L5"/>
    <w:basedOn w:val="Standard2L4"/>
    <w:next w:val="Normal"/>
    <w:qFormat/>
    <w:pPr>
      <w:numPr>
        <w:ilvl w:val="0"/>
        <w:numId w:val="2"/>
      </w:numPr>
      <w:outlineLvl w:val="4"/>
    </w:pPr>
    <w:rPr/>
  </w:style>
  <w:style w:type="paragraph" w:styleId="Standard2L6">
    <w:name w:val="Standard2_L6"/>
    <w:basedOn w:val="Standard2L5"/>
    <w:next w:val="Normal"/>
    <w:qFormat/>
    <w:pPr>
      <w:numPr>
        <w:ilvl w:val="0"/>
        <w:numId w:val="2"/>
      </w:numPr>
      <w:outlineLvl w:val="5"/>
    </w:pPr>
    <w:rPr/>
  </w:style>
  <w:style w:type="paragraph" w:styleId="Standard2L7">
    <w:name w:val="Standard2_L7"/>
    <w:basedOn w:val="Standard2L6"/>
    <w:next w:val="Normal"/>
    <w:qFormat/>
    <w:pPr>
      <w:numPr>
        <w:ilvl w:val="0"/>
        <w:numId w:val="2"/>
      </w:numPr>
      <w:outlineLvl w:val="6"/>
    </w:pPr>
    <w:rPr/>
  </w:style>
  <w:style w:type="paragraph" w:styleId="Standard2L8">
    <w:name w:val="Standard2_L8"/>
    <w:basedOn w:val="Standard2L7"/>
    <w:next w:val="Normal"/>
    <w:qFormat/>
    <w:pPr>
      <w:numPr>
        <w:ilvl w:val="0"/>
        <w:numId w:val="2"/>
      </w:numPr>
      <w:outlineLvl w:val="7"/>
    </w:pPr>
    <w:rPr/>
  </w:style>
  <w:style w:type="paragraph" w:styleId="Standard2L9">
    <w:name w:val="Standard2_L9"/>
    <w:basedOn w:val="Standard2L8"/>
    <w:next w:val="Normal"/>
    <w:qFormat/>
    <w:pPr>
      <w:numPr>
        <w:ilvl w:val="0"/>
        <w:numId w:val="2"/>
      </w:numPr>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2000-09-27T19:54:00Z</dcterms:created>
  <dc:creator>mir</dc:creator>
  <dc:description/>
  <dc:language>en-CA</dc:language>
  <cp:lastModifiedBy>kaf</cp:lastModifiedBy>
  <cp:lastPrinted>2000-09-19T14:07:00Z</cp:lastPrinted>
  <dcterms:modified xsi:type="dcterms:W3CDTF">2000-09-28T11:13:00Z</dcterms:modified>
  <cp:revision>4</cp:revision>
  <dc:subject/>
  <dc:title>ENRON CANADA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30332324.3</vt:lpwstr>
  </property>
</Properties>
</file>