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Borderline</w:t>
      </w:r>
    </w:p>
    <w:p>
      <w:pPr>
        <w:pStyle w:val="Normal"/>
        <w:rPr>
          <w:rFonts w:ascii="Century Gothic" w:hAnsi="Century Gothic" w:cs="Century Gothic"/>
        </w:rPr>
      </w:pPr>
      <w:r>
        <w:rPr>
          <w:rFonts w:cs="Century Gothic" w:ascii="Century Gothic" w:hAnsi="Century Gothic"/>
        </w:rPr>
        <w:t>No.  2001-02</w:t>
      </w:r>
    </w:p>
    <w:p>
      <w:pPr>
        <w:pStyle w:val="Normal"/>
        <w:rPr>
          <w:rFonts w:ascii="Century Gothic" w:hAnsi="Century Gothic" w:cs="Century Gothic"/>
        </w:rPr>
      </w:pPr>
      <w:r>
        <w:rPr>
          <w:rFonts w:cs="Century Gothic" w:ascii="Century Gothic" w:hAnsi="Century Gothic"/>
        </w:rPr>
        <w:t>May 21, 2001</w:t>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sz w:val="22"/>
        </w:rPr>
      </w:pPr>
      <w:r>
        <w:rPr>
          <w:rFonts w:cs="Century Gothic" w:ascii="Century Gothic" w:hAnsi="Century Gothic"/>
          <w:sz w:val="22"/>
        </w:rPr>
        <w:t xml:space="preserve">In a Borderline notice dated September 26, 2000, it was announced that the total daily nomination quantity on Northern Border was in excess of 60 Bcf per day.  And it was predicted that such number would continue to grow.  Well, such prediction has come true; Northern Border had over 250 Bcf/day of gas nominated on interruptible contracts for Monday’s timely cycle. </w:t>
      </w:r>
    </w:p>
    <w:p>
      <w:pPr>
        <w:pStyle w:val="Normal"/>
        <w:rPr>
          <w:rFonts w:ascii="Century Gothic" w:hAnsi="Century Gothic" w:cs="Century Gothic"/>
          <w:sz w:val="22"/>
        </w:rPr>
      </w:pPr>
      <w:r>
        <w:rPr>
          <w:rFonts w:cs="Century Gothic" w:ascii="Century Gothic" w:hAnsi="Century Gothic"/>
          <w:sz w:val="22"/>
        </w:rPr>
      </w:r>
    </w:p>
    <w:p>
      <w:pPr>
        <w:pStyle w:val="BodyText"/>
        <w:rPr/>
      </w:pPr>
      <w:r>
        <w:rPr/>
        <w:t xml:space="preserve">Another prediction made last September was that the combination of highly overnominated interruptible quantities along with the use of increasingly complex pathing and transferring schemes would eventually put a strain on the Northern Border nomination system.  Unfortunately, that prediction has also come true.  </w:t>
      </w:r>
    </w:p>
    <w:p>
      <w:pPr>
        <w:pStyle w:val="Normal"/>
        <w:rPr>
          <w:rFonts w:ascii="Century Gothic" w:hAnsi="Century Gothic" w:cs="Century Gothic"/>
          <w:sz w:val="22"/>
        </w:rPr>
      </w:pPr>
      <w:r>
        <w:rPr>
          <w:rFonts w:cs="Century Gothic" w:ascii="Century Gothic" w:hAnsi="Century Gothic"/>
          <w:sz w:val="22"/>
        </w:rPr>
      </w:r>
    </w:p>
    <w:p>
      <w:pPr>
        <w:pStyle w:val="Normal"/>
        <w:rPr>
          <w:rFonts w:ascii="Century Gothic" w:hAnsi="Century Gothic" w:cs="Century Gothic"/>
          <w:sz w:val="22"/>
        </w:rPr>
      </w:pPr>
      <w:r>
        <w:rPr>
          <w:rFonts w:cs="Century Gothic" w:ascii="Century Gothic" w:hAnsi="Century Gothic"/>
          <w:sz w:val="22"/>
        </w:rPr>
        <w:t>To quickly bring some control to the current shipper practice of overnominating interruptible contracts to influence allocation percentages, Northern Border is in the process of implementing the following procedural changes:</w:t>
      </w:r>
    </w:p>
    <w:p>
      <w:pPr>
        <w:pStyle w:val="Normal"/>
        <w:rPr>
          <w:rFonts w:ascii="Century Gothic" w:hAnsi="Century Gothic" w:cs="Century Gothic"/>
          <w:sz w:val="22"/>
        </w:rPr>
      </w:pPr>
      <w:r>
        <w:rPr>
          <w:rFonts w:cs="Century Gothic" w:ascii="Century Gothic" w:hAnsi="Century Gothic"/>
          <w:sz w:val="22"/>
        </w:rPr>
      </w:r>
    </w:p>
    <w:p>
      <w:pPr>
        <w:pStyle w:val="Normal"/>
        <w:numPr>
          <w:ilvl w:val="0"/>
          <w:numId w:val="2"/>
        </w:numPr>
        <w:rPr>
          <w:rFonts w:ascii="Century Gothic" w:hAnsi="Century Gothic" w:cs="Century Gothic"/>
          <w:sz w:val="22"/>
        </w:rPr>
      </w:pPr>
      <w:r>
        <w:rPr>
          <w:rFonts w:cs="Century Gothic" w:ascii="Century Gothic" w:hAnsi="Century Gothic"/>
          <w:sz w:val="22"/>
        </w:rPr>
        <w:t>Northern Border will “redefine” its Daily Interruptible Nomination Quantity (“DINQ”) to be the total maximum quantity of gas a legal entity can nominate, in aggregate, on its Rate Schedule IT-1 forward haul agreements for a given nomination cycle.</w:t>
      </w:r>
    </w:p>
    <w:p>
      <w:pPr>
        <w:pStyle w:val="Normal"/>
        <w:numPr>
          <w:ilvl w:val="0"/>
          <w:numId w:val="2"/>
        </w:numPr>
        <w:rPr>
          <w:rFonts w:ascii="Century Gothic" w:hAnsi="Century Gothic" w:cs="Century Gothic"/>
          <w:sz w:val="22"/>
        </w:rPr>
      </w:pPr>
      <w:r>
        <w:rPr>
          <w:rFonts w:cs="Century Gothic" w:ascii="Century Gothic" w:hAnsi="Century Gothic"/>
          <w:sz w:val="22"/>
        </w:rPr>
        <w:t>Initially the new DINQ shall be fixed at 250,000 dekatherms/day received for nominated postive mileage interruptible transactions.  A future adjustment to the fixed DINQ quantity, if necessary, will be communicated by Northern Border well in advance of its implementation date.</w:t>
      </w:r>
    </w:p>
    <w:p>
      <w:pPr>
        <w:pStyle w:val="Normal"/>
        <w:numPr>
          <w:ilvl w:val="0"/>
          <w:numId w:val="2"/>
        </w:numPr>
        <w:rPr>
          <w:rFonts w:ascii="Century Gothic" w:hAnsi="Century Gothic" w:cs="Century Gothic"/>
          <w:sz w:val="22"/>
        </w:rPr>
      </w:pPr>
      <w:r>
        <w:rPr>
          <w:rFonts w:cs="Century Gothic" w:ascii="Century Gothic" w:hAnsi="Century Gothic"/>
          <w:sz w:val="22"/>
        </w:rPr>
        <w:t>When the total daily IT-1 forward haul nominated quantity for a given legal entity exceeds 250,000 dekatherms/day for a given nomination cycle, Northern Border lacks the information needed to allocate across multiple interruptible contracts.  Consequently, such legal entities’ IT-1 forward haul nominations will be rejected before Northern Border begins its capacity allocation process.</w:t>
      </w:r>
    </w:p>
    <w:p>
      <w:pPr>
        <w:pStyle w:val="Normal"/>
        <w:numPr>
          <w:ilvl w:val="0"/>
          <w:numId w:val="2"/>
        </w:numPr>
        <w:rPr>
          <w:rFonts w:ascii="Century Gothic" w:hAnsi="Century Gothic" w:cs="Century Gothic"/>
          <w:sz w:val="22"/>
        </w:rPr>
      </w:pPr>
      <w:r>
        <w:rPr>
          <w:rFonts w:cs="Century Gothic" w:ascii="Century Gothic" w:hAnsi="Century Gothic"/>
          <w:sz w:val="22"/>
        </w:rPr>
        <w:t>No limit will be placed on the number of effective IT-1 agreements a legal entity can have.   However, we would suggest that a legal entity should only nominate on one IT-1 forward haul contract with a MRQ of 250,000 dekatherms/day.  By doing so, the system will be able to validate that the DINQ has not been exceeded at the time the nominations under this single contract is submitted.</w:t>
      </w:r>
    </w:p>
    <w:p>
      <w:pPr>
        <w:pStyle w:val="Normal"/>
        <w:rPr>
          <w:rFonts w:ascii="Century Gothic" w:hAnsi="Century Gothic" w:cs="Century Gothic"/>
          <w:sz w:val="22"/>
        </w:rPr>
      </w:pPr>
      <w:r>
        <w:rPr>
          <w:rFonts w:cs="Century Gothic" w:ascii="Century Gothic" w:hAnsi="Century Gothic"/>
          <w:sz w:val="22"/>
        </w:rPr>
      </w:r>
    </w:p>
    <w:p>
      <w:pPr>
        <w:pStyle w:val="Normal"/>
        <w:rPr>
          <w:rFonts w:ascii="Century Gothic" w:hAnsi="Century Gothic" w:cs="Century Gothic"/>
          <w:sz w:val="22"/>
        </w:rPr>
      </w:pPr>
      <w:r>
        <w:rPr>
          <w:rFonts w:cs="Century Gothic" w:ascii="Century Gothic" w:hAnsi="Century Gothic"/>
          <w:sz w:val="22"/>
        </w:rPr>
        <w:t xml:space="preserve">Such changes will be put into operation for the June 1 gas day.  </w:t>
      </w:r>
    </w:p>
    <w:p>
      <w:pPr>
        <w:pStyle w:val="Normal"/>
        <w:rPr>
          <w:rFonts w:ascii="Century Gothic" w:hAnsi="Century Gothic" w:cs="Century Gothic"/>
          <w:sz w:val="22"/>
        </w:rPr>
      </w:pPr>
      <w:r>
        <w:rPr>
          <w:rFonts w:cs="Century Gothic" w:ascii="Century Gothic" w:hAnsi="Century Gothic"/>
          <w:sz w:val="22"/>
        </w:rPr>
      </w:r>
    </w:p>
    <w:p>
      <w:pPr>
        <w:pStyle w:val="Normal"/>
        <w:rPr>
          <w:rFonts w:ascii="Century Gothic" w:hAnsi="Century Gothic" w:cs="Century Gothic"/>
          <w:sz w:val="22"/>
        </w:rPr>
      </w:pPr>
      <w:r>
        <w:rPr>
          <w:rFonts w:cs="Century Gothic" w:ascii="Century Gothic" w:hAnsi="Century Gothic"/>
          <w:sz w:val="22"/>
        </w:rPr>
        <w:t>If you have any specific questions concerning these changes, please contact the Market Services Team.</w:t>
      </w:r>
    </w:p>
    <w:p>
      <w:pPr>
        <w:pStyle w:val="Normal"/>
        <w:rPr>
          <w:rFonts w:ascii="Century Gothic" w:hAnsi="Century Gothic" w:cs="Century Gothic"/>
          <w:sz w:val="22"/>
        </w:rPr>
      </w:pPr>
      <w:r>
        <w:rPr>
          <w:rFonts w:cs="Century Gothic" w:ascii="Century Gothic" w:hAnsi="Century Gothic"/>
          <w:sz w:val="22"/>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entury Gothic">
    <w:charset w:val="00" w:characterSet="windows-1252"/>
    <w:family w:val="swiss"/>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rFonts w:ascii="Century Gothic" w:hAnsi="Century Gothic" w:cs="Century Gothic"/>
      <w:sz w:val="52"/>
    </w:rPr>
  </w:style>
  <w:style w:type="paragraph" w:styleId="Heading2">
    <w:name w:val="heading 2"/>
    <w:basedOn w:val="Normal"/>
    <w:next w:val="Normal"/>
    <w:qFormat/>
    <w:pPr>
      <w:keepNext w:val="true"/>
      <w:numPr>
        <w:ilvl w:val="1"/>
        <w:numId w:val="1"/>
      </w:numPr>
      <w:outlineLvl w:val="1"/>
    </w:pPr>
    <w:rPr>
      <w:rFonts w:ascii="Century Gothic" w:hAnsi="Century Gothic" w:cs="Century Gothic"/>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Century Gothic" w:hAnsi="Century Gothic" w:cs="Century Gothic"/>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2001-05-21T19:40:00Z</dcterms:created>
  <dc:creator>scoburn</dc:creator>
  <dc:description/>
  <dc:language>en-CA</dc:language>
  <cp:lastModifiedBy>scoburn</cp:lastModifiedBy>
  <cp:lastPrinted>2001-05-21T14:59:00Z</cp:lastPrinted>
  <dcterms:modified xsi:type="dcterms:W3CDTF">2001-05-22T10:51:00Z</dcterms:modified>
  <cp:revision>3</cp:revision>
  <dc:subject/>
  <dc:title>Borderline</dc:title>
</cp:coreProperties>
</file>