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Greater Houston Partnership</w:t>
        <w:tab/>
        <w:t>October 2, 2001</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Recommended Positions on City of Houston Bond Referendum</w:t>
      </w:r>
    </w:p>
    <w:p>
      <w:pPr>
        <w:pStyle w:val="Normal"/>
        <w:pBdr>
          <w:bottom w:val="single" w:sz="6" w:space="1" w:color="000000"/>
        </w:pBdr>
        <w:jc w:val="center"/>
        <w:rPr>
          <w:b/>
          <w:sz w:val="28"/>
        </w:rPr>
      </w:pPr>
      <w:r>
        <w:rPr>
          <w:b/>
          <w:sz w:val="28"/>
        </w:rPr>
      </w:r>
    </w:p>
    <w:p>
      <w:pPr>
        <w:pStyle w:val="Normal"/>
        <w:rPr/>
      </w:pPr>
      <w:r>
        <w:rPr/>
      </w:r>
    </w:p>
    <w:p>
      <w:pPr>
        <w:pStyle w:val="BodyText"/>
        <w:rPr/>
      </w:pPr>
      <w:r>
        <w:rPr/>
        <w:t xml:space="preserve">The Greater Houston Partnership supports the City of Houston’s $776 million bond proposal for the purpose of streets and bridges, police and fire departments, parks and recreation, general permanent improvements, library improvements, and infrastructure improvements.  The City of Houston’s role in maintaining and enhancing the overall infrastructure of the city is vital to the region’s economic and civic prosperity.  The improvements planned with the City’s existing bond funds and the proceeds from this new bonding authority will ensure the ongoing competitiveness of the Houston region. </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t>____________________________</w:t>
        <w:tab/>
        <w:tab/>
        <w:tab/>
        <w:t>______________________________</w:t>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tcPr>
          <w:p>
            <w:pPr>
              <w:pStyle w:val="Normal"/>
              <w:rPr/>
            </w:pPr>
            <w:r>
              <w:rPr/>
              <w:t>R. Bruce LaBoon,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t>____________________________</w:t>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tcPr>
          <w:p>
            <w:pPr>
              <w:pStyle w:val="Normal"/>
              <w:rPr/>
            </w:pPr>
            <w:r>
              <w:rPr/>
              <w:t>Steven L. Miller,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pStyle w:val="Normal"/>
        <w:rPr/>
      </w:pPr>
      <w:r>
        <w:rPr/>
      </w:r>
    </w:p>
    <w:p>
      <w:pPr>
        <w:sectPr>
          <w:headerReference w:type="default" r:id="rId2"/>
          <w:footerReference w:type="default" r:id="rId3"/>
          <w:type w:val="nextPage"/>
          <w:pgSz w:w="12240" w:h="15840"/>
          <w:pgMar w:left="1680" w:right="1680" w:gutter="0" w:header="720" w:top="1440" w:footer="960" w:bottom="1440"/>
          <w:pgNumType w:fmt="decimal"/>
          <w:formProt w:val="false"/>
          <w:textDirection w:val="lrTb"/>
          <w:docGrid w:type="default" w:linePitch="360" w:charSpace="0"/>
        </w:sectPr>
        <w:pStyle w:val="Normal"/>
        <w:rPr/>
      </w:pPr>
      <w:r>
        <w:rPr/>
      </w:r>
    </w:p>
    <w:p>
      <w:pPr>
        <w:pStyle w:val="Heading2"/>
        <w:ind w:hanging="0" w:start="0"/>
        <w:rPr/>
      </w:pPr>
      <w:r>
        <w:rPr/>
      </w:r>
    </w:p>
    <w:p>
      <w:pPr>
        <w:pStyle w:val="Heading2"/>
        <w:ind w:hanging="0" w:start="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October 2, 2001</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 xml:space="preserve">Board of Directors </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H. John Riley, Jr., Chairman</w:t>
            </w:r>
          </w:p>
          <w:p>
            <w:pPr>
              <w:pStyle w:val="Normal"/>
              <w:rPr/>
            </w:pPr>
            <w:r>
              <w:rPr/>
              <w:t>Business Issues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Recommended Positions on City of Houston Bond Referendums</w:t>
            </w:r>
          </w:p>
        </w:tc>
      </w:tr>
    </w:tbl>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Normal"/>
        <w:rPr>
          <w:b/>
          <w:bCs/>
        </w:rPr>
      </w:pPr>
      <w:r>
        <w:rPr>
          <w:b/>
          <w:bCs/>
        </w:rPr>
        <w:t>RECOMMENDATION</w:t>
      </w:r>
    </w:p>
    <w:p>
      <w:pPr>
        <w:pStyle w:val="Normal"/>
        <w:rPr>
          <w:b/>
          <w:bCs/>
        </w:rPr>
      </w:pPr>
      <w:r>
        <w:rPr>
          <w:b/>
          <w:bCs/>
        </w:rPr>
      </w:r>
    </w:p>
    <w:p>
      <w:pPr>
        <w:pStyle w:val="Normal"/>
        <w:jc w:val="both"/>
        <w:rPr/>
      </w:pPr>
      <w:r>
        <w:rPr/>
        <w:t xml:space="preserve">The Greater Houston Partnership supports the City of Houston’s $776 million bond proposal for the purpose of streets and bridges, police and fire departments, parks and recreation, general permanent improvements, library improvements, and infrastructure improvements.  The City of Houston’s role in maintaining and enhancing the overall infrastructure of the city is vital to the region’s economic and civic prosperity.  The improvements planned with the City’s existing bond funds and the proceeds from this new bonding authority will ensure the ongoing competitiveness of the Houston region. </w:t>
      </w:r>
    </w:p>
    <w:p>
      <w:pPr>
        <w:pStyle w:val="Normal"/>
        <w:jc w:val="both"/>
        <w:rPr/>
      </w:pPr>
      <w:r>
        <w:rPr/>
      </w:r>
    </w:p>
    <w:p>
      <w:pPr>
        <w:pStyle w:val="Normal"/>
        <w:rPr>
          <w:b/>
          <w:bCs/>
        </w:rPr>
      </w:pPr>
      <w:r>
        <w:rPr>
          <w:b/>
          <w:bCs/>
        </w:rPr>
        <w:t>BACKGROUND</w:t>
      </w:r>
    </w:p>
    <w:p>
      <w:pPr>
        <w:pStyle w:val="BodyText"/>
        <w:rPr>
          <w:b/>
          <w:bCs/>
        </w:rPr>
      </w:pPr>
      <w:r>
        <w:rPr>
          <w:b/>
          <w:bCs/>
        </w:rPr>
      </w:r>
    </w:p>
    <w:p>
      <w:pPr>
        <w:pStyle w:val="BodyText"/>
        <w:rPr/>
      </w:pPr>
      <w:r>
        <w:rPr/>
        <w:t xml:space="preserve">The Greater Houston Partnership created a Task Force on City Budget and Finance, with Bill White as Chairman.  The task force presented the City of Houston with an innovative approach to refinancing some existing debt so as to increase the amount of bonds that could be sold, </w:t>
      </w:r>
      <w:r>
        <w:rPr>
          <w:u w:val="single"/>
        </w:rPr>
        <w:t>without a tax increase</w:t>
      </w:r>
      <w:r>
        <w:rPr/>
        <w:t>, by approximately $120 million.</w:t>
      </w:r>
    </w:p>
    <w:p>
      <w:pPr>
        <w:pStyle w:val="BodyText"/>
        <w:rPr/>
      </w:pPr>
      <w:r>
        <w:rPr/>
      </w:r>
    </w:p>
    <w:p>
      <w:pPr>
        <w:pStyle w:val="BodyText"/>
        <w:rPr/>
      </w:pPr>
      <w:r>
        <w:rPr/>
        <w:t>On June 19, 2001, the Partnership’s Executive Committee passed a resolution that made various recommendations to the Mayor regarding the division and use of a bond referendum.  The mayor’s final proposed bond referendum language includes some of the those recommendations, including: $80 million bond referendum for parks and recreation, at least $60 million for libraries, and $113 million for storm drainage.</w:t>
      </w:r>
    </w:p>
    <w:p>
      <w:pPr>
        <w:pStyle w:val="BodyText"/>
        <w:rPr/>
      </w:pPr>
      <w:r>
        <w:rPr/>
      </w:r>
    </w:p>
    <w:p>
      <w:pPr>
        <w:pStyle w:val="BodyText"/>
        <w:rPr/>
      </w:pPr>
      <w:r>
        <w:rPr/>
        <w:t>Based upon the findings and conclusions of this task force, and the discussion of the Executive Committee on the financial necessity of these bond to complete major projects and plans within the City of Houston, the Partnership supports the bond referendum in its entirety as stated above and as set out by paraphrased ballot language as follows:</w:t>
      </w:r>
    </w:p>
    <w:p>
      <w:pPr>
        <w:pStyle w:val="BodyText"/>
        <w:rPr/>
      </w:pPr>
      <w:r>
        <w:rPr/>
      </w:r>
    </w:p>
    <w:p>
      <w:pPr>
        <w:pStyle w:val="Normal"/>
        <w:jc w:val="both"/>
        <w:rPr/>
      </w:pPr>
      <w:r>
        <w:rPr/>
        <w:t>Proposition A:</w:t>
        <w:tab/>
        <w:t>SHALL THE CITY COUNCIL OF THE CITY OF HOUSTON BE AUTHORIZED TO ISSUE BONDS OF THE CITY, IN THE AMOUNT OF $474,000,000 FOR THE PURPOSE OF THE CONSTRUCTION, IMPROVEMENT, AND ACQUISITION OF STREETS AND BRIDGES, STORM SEWERS, AND RELATED DRAINAGE FACILITIES, AND PROVIDING FACILITIES FOR TRAFFIC SAFETY AND CONTROL, AND ALL MATTERS NECESSARY OR INCIDENTAL THERETO?</w:t>
      </w:r>
    </w:p>
    <w:p>
      <w:pPr>
        <w:pStyle w:val="Normal"/>
        <w:jc w:val="both"/>
        <w:rPr/>
      </w:pPr>
      <w:r>
        <w:rPr/>
        <w:t xml:space="preserve">  </w:t>
      </w:r>
    </w:p>
    <w:p>
      <w:pPr>
        <w:pStyle w:val="Header"/>
        <w:tabs>
          <w:tab w:val="clear" w:pos="4320"/>
          <w:tab w:val="clear" w:pos="8640"/>
        </w:tabs>
        <w:jc w:val="both"/>
        <w:rPr/>
      </w:pPr>
      <w:r>
        <w:rPr/>
        <w:t>Proposition B:</w:t>
        <w:tab/>
        <w:t>SHALL THE CITY COUNCIL OF THE CITY OF HOUSTON BE AUTHORIZED TO ISSUE BONDS OF THE CITY, IN THE AMOUNT OF $82,000,000 FOR THE PURPOSE OF THE ACQUISITION AND CONSTRUCTION OF PUBLIC SAFETY PERMANENT IMPROVEMENTS FOR POLICE AND FIRE DEPARTMENTS, THE ACQUISITION OF LANDS AND RIGHTS-OF-WAY FOR ANY OF SUCH IMPROVEMENTS, AND ALL MATTERS NECESSARY OR INCIDENTAL THERETO?</w:t>
      </w:r>
    </w:p>
    <w:p>
      <w:pPr>
        <w:pStyle w:val="Header"/>
        <w:tabs>
          <w:tab w:val="clear" w:pos="4320"/>
          <w:tab w:val="clear" w:pos="8640"/>
        </w:tabs>
        <w:jc w:val="both"/>
        <w:rPr/>
      </w:pPr>
      <w:r>
        <w:rPr/>
      </w:r>
    </w:p>
    <w:p>
      <w:pPr>
        <w:pStyle w:val="Header"/>
        <w:tabs>
          <w:tab w:val="clear" w:pos="4320"/>
          <w:tab w:val="clear" w:pos="8640"/>
        </w:tabs>
        <w:jc w:val="both"/>
        <w:rPr/>
      </w:pPr>
      <w:r>
        <w:rPr/>
        <w:t>Proposition C:</w:t>
        <w:tab/>
        <w:t>CITY COUNCIL OF THE CITY OF HOUSTON BE AUTHORIZED TO ISSUE BONDS OF THE CITY, IN THE AMOUNT OF $80,000,000 FOR THE PURPOSE OF THE ACQUISITION AND CONSTRUCTION OF ADDITIONS AND IMPROVEMENTS TO PARKS AND RECREATIONAL FACILITIES INCLUDING THE ACQUISITION OF LAND THEREFOR, AND ALL MATTERS NECESSARY AND INCIDENTAL THERETO?</w:t>
      </w:r>
    </w:p>
    <w:p>
      <w:pPr>
        <w:pStyle w:val="Header"/>
        <w:tabs>
          <w:tab w:val="clear" w:pos="4320"/>
          <w:tab w:val="clear" w:pos="8640"/>
        </w:tabs>
        <w:jc w:val="both"/>
        <w:rPr/>
      </w:pPr>
      <w:r>
        <w:rPr/>
      </w:r>
    </w:p>
    <w:p>
      <w:pPr>
        <w:pStyle w:val="Header"/>
        <w:tabs>
          <w:tab w:val="clear" w:pos="4320"/>
          <w:tab w:val="clear" w:pos="8640"/>
        </w:tabs>
        <w:jc w:val="both"/>
        <w:rPr/>
      </w:pPr>
      <w:r>
        <w:rPr/>
        <w:t>Proposition D:</w:t>
        <w:tab/>
        <w:t>CITY COUNCIL OF THE CITY OF HOUSTON BE AUTHORIZED TO ISSUE BONDS OF THE CITY, IN THE AMOUNT OF $80,000,000 FOR THE PURPOSE OF THE ACQUISITION, CONSTUCTION, REHABILITATION, AND EQUIPPING OF GENERAL PERMANENT IMPROVEMENTS IN AND FOR THE CITY, AND ACQUIRING LANDS AND RIGHTS OF WAY FOR SUCH PERMANENT IMPROVEMENTS, AND ALL MATTERS NECESSARY OR INCIDENTAL THERETO?</w:t>
      </w:r>
    </w:p>
    <w:p>
      <w:pPr>
        <w:pStyle w:val="Header"/>
        <w:tabs>
          <w:tab w:val="clear" w:pos="4320"/>
          <w:tab w:val="clear" w:pos="8640"/>
        </w:tabs>
        <w:rPr/>
      </w:pPr>
      <w:r>
        <w:rPr/>
      </w:r>
    </w:p>
    <w:p>
      <w:pPr>
        <w:pStyle w:val="Header"/>
        <w:tabs>
          <w:tab w:val="clear" w:pos="4320"/>
          <w:tab w:val="clear" w:pos="8640"/>
        </w:tabs>
        <w:jc w:val="both"/>
        <w:rPr/>
      </w:pPr>
      <w:r>
        <w:rPr/>
        <w:t>Proposition E:</w:t>
        <w:tab/>
        <w:t>CITY COUNCIL OF THE CITY OF HOUSTON BE AUTHORIZED TO ISSUE BONDS OF THE CITY, IN THE AMOUNT OF $40,000,000 FOR THE PURPOSE OF THE ACQUISITION AND CONSTRUCTION OF LIBRARY IMPROVEMENTS, THE ACQUISITION OF LANDS AND RIGHTS OF WAY FOR SUCH IMPROVEMENTS, AND ALL MATTERS NECESSARY AND INCIDENTAL THERETO?</w:t>
      </w:r>
    </w:p>
    <w:p>
      <w:pPr>
        <w:pStyle w:val="Header"/>
        <w:tabs>
          <w:tab w:val="clear" w:pos="4320"/>
          <w:tab w:val="clear" w:pos="8640"/>
        </w:tabs>
        <w:jc w:val="both"/>
        <w:rPr/>
      </w:pPr>
      <w:r>
        <w:rPr/>
      </w:r>
    </w:p>
    <w:p>
      <w:pPr>
        <w:pStyle w:val="Header"/>
        <w:tabs>
          <w:tab w:val="clear" w:pos="4320"/>
          <w:tab w:val="clear" w:pos="8640"/>
        </w:tabs>
        <w:jc w:val="both"/>
        <w:rPr/>
      </w:pPr>
      <w:r>
        <w:rPr/>
        <w:t>Proposition F:</w:t>
        <w:tab/>
        <w:t xml:space="preserve"> CITY COUNCIL OF THE CITY OF HOUSTON BE AUTHORIZED TO ISSUE BONDS OF THE CITY, IN THE AMOUNT OF $20,000,000 FOR THE PURPOSE OF THE PROVIDING INFRASTRUCTURE IMPROVEMENTS IN CONNECTION WITH AND RELATED THERETO, AND ALL MATTERS NECESSARY AND INCIDENTAL THERETO?</w:t>
      </w:r>
    </w:p>
    <w:p>
      <w:pPr>
        <w:pStyle w:val="Header"/>
        <w:tabs>
          <w:tab w:val="clear" w:pos="4320"/>
          <w:tab w:val="clear" w:pos="8640"/>
        </w:tabs>
        <w:jc w:val="both"/>
        <w:rPr/>
      </w:pPr>
      <w:r>
        <w:rPr/>
      </w:r>
    </w:p>
    <w:p>
      <w:pPr>
        <w:pStyle w:val="Heading1"/>
        <w:ind w:hanging="0" w:start="0"/>
        <w:jc w:val="both"/>
        <w:rPr/>
      </w:pPr>
      <w:r>
        <w:rPr/>
        <w:t>IMPLEMENTATION</w:t>
      </w:r>
    </w:p>
    <w:p>
      <w:pPr>
        <w:pStyle w:val="Normal"/>
        <w:jc w:val="both"/>
        <w:rPr/>
      </w:pPr>
      <w:r>
        <w:rPr/>
      </w:r>
    </w:p>
    <w:p>
      <w:pPr>
        <w:pStyle w:val="Normal"/>
        <w:jc w:val="both"/>
        <w:rPr/>
      </w:pPr>
      <w:r>
        <w:rPr/>
        <w:t xml:space="preserve">Communicate these recommendations to the membership of the Greater Houston Partnership in </w:t>
      </w:r>
      <w:r>
        <w:rPr>
          <w:i/>
          <w:iCs/>
        </w:rPr>
        <w:t>At Work</w:t>
      </w:r>
      <w:r>
        <w:rPr/>
        <w:t xml:space="preserve"> and in the 2001 Voters Guide to be published and posted on the partnership web page in mid-October.</w:t>
      </w:r>
    </w:p>
    <w:p>
      <w:pPr>
        <w:pStyle w:val="Normal"/>
        <w:jc w:val="both"/>
        <w:rPr/>
      </w:pPr>
      <w:r>
        <w:rPr/>
      </w:r>
    </w:p>
    <w:p>
      <w:pPr>
        <w:pStyle w:val="Heading1"/>
        <w:ind w:hanging="0" w:start="0"/>
        <w:jc w:val="both"/>
        <w:rPr/>
      </w:pPr>
      <w:r>
        <w:rPr/>
        <w:t>RESOURCES REQUIRED</w:t>
      </w:r>
    </w:p>
    <w:p>
      <w:pPr>
        <w:pStyle w:val="Normal"/>
        <w:jc w:val="both"/>
        <w:rPr/>
      </w:pPr>
      <w:r>
        <w:rPr/>
      </w:r>
    </w:p>
    <w:p>
      <w:pPr>
        <w:pStyle w:val="BodyText"/>
        <w:rPr/>
      </w:pPr>
      <w:r>
        <w:rPr/>
        <w:t>This recommendation can be implemented within the current operating budget.  Member company sponsorships will underwrite the cost of preparing the Voter’s Guide.</w:t>
      </w:r>
    </w:p>
    <w:sectPr>
      <w:headerReference w:type="default" r:id="rId4"/>
      <w:headerReference w:type="first" r:id="rId5"/>
      <w:footerReference w:type="default" r:id="rId6"/>
      <w:footerReference w:type="first" r:id="rId7"/>
      <w:type w:val="nextPage"/>
      <w:pgSz w:w="12240" w:h="15840"/>
      <w:pgMar w:left="1440" w:right="1440" w:gutter="0" w:header="720" w:top="1008" w:footer="965" w:bottom="102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1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3144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480" w:after="240"/>
      <w:outlineLvl w:val="1"/>
    </w:pPr>
    <w:rPr>
      <w:sz w:val="28"/>
    </w:rPr>
  </w:style>
  <w:style w:type="paragraph" w:styleId="Heading3">
    <w:name w:val="heading 3"/>
    <w:basedOn w:val="Normal"/>
    <w:next w:val="Normal"/>
    <w:qFormat/>
    <w:pPr>
      <w:keepNext w:val="true"/>
      <w:numPr>
        <w:ilvl w:val="2"/>
        <w:numId w:val="1"/>
      </w:numPr>
      <w:pBdr>
        <w:top w:val="single" w:sz="6" w:space="12" w:color="000000"/>
        <w:bottom w:val="single" w:sz="6" w:space="12" w:color="000000"/>
      </w:pBdr>
      <w:tabs>
        <w:tab w:val="clear" w:pos="720"/>
        <w:tab w:val="right" w:pos="8910" w:leader="none"/>
      </w:tabs>
      <w:outlineLvl w:val="2"/>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240" w:after="0"/>
      <w:ind w:hanging="0" w:start="720" w:end="0"/>
    </w:pPr>
    <w:rPr/>
  </w:style>
  <w:style w:type="paragraph" w:styleId="BodyText2">
    <w:name w:val="Body Text 2"/>
    <w:basedOn w:val="Normal"/>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2001 Resolution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2001-09-27T14:34:00Z</dcterms:created>
  <dc:creator>Arlene McCarty</dc:creator>
  <dc:description/>
  <dc:language>en-CA</dc:language>
  <cp:lastModifiedBy>Arlene McCarty</cp:lastModifiedBy>
  <cp:lastPrinted>2001-09-27T12:03:00Z</cp:lastPrinted>
  <dcterms:modified xsi:type="dcterms:W3CDTF">2001-09-27T14:34:00Z</dcterms:modified>
  <cp:revision>2</cp:revision>
  <dc:subject/>
  <dc:title>Greater Houston Partnership							February 4, 1997</dc:title>
</cp:coreProperties>
</file>