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end"/>
        <w:rPr>
          <w:sz w:val="24"/>
        </w:rPr>
      </w:pPr>
      <w:r>
        <w:rPr>
          <w:sz w:val="24"/>
        </w:rPr>
        <w:t>DRAFT 12/18/00</w:t>
      </w:r>
    </w:p>
    <w:p>
      <w:pPr>
        <w:pStyle w:val="Normal"/>
        <w:ind w:end="180"/>
        <w:jc w:val="end"/>
        <w:rPr>
          <w:sz w:val="24"/>
        </w:rPr>
      </w:pPr>
      <w:r>
        <w:rPr>
          <w:sz w:val="24"/>
        </w:rPr>
      </w:r>
    </w:p>
    <w:p>
      <w:pPr>
        <w:pStyle w:val="Normal"/>
        <w:ind w:end="180"/>
        <w:jc w:val="center"/>
        <w:rPr>
          <w:b/>
          <w:sz w:val="24"/>
        </w:rPr>
      </w:pPr>
      <w:r>
        <w:rPr>
          <w:b/>
          <w:sz w:val="24"/>
        </w:rPr>
        <w:t>BOBCAT I LLC</w:t>
      </w:r>
    </w:p>
    <w:p>
      <w:pPr>
        <w:pStyle w:val="Normal"/>
        <w:spacing w:lineRule="exact" w:line="240"/>
        <w:ind w:end="180"/>
        <w:jc w:val="center"/>
        <w:rPr>
          <w:b/>
          <w:sz w:val="24"/>
          <w:u w:val="single"/>
        </w:rPr>
      </w:pPr>
      <w:r>
        <w:rPr>
          <w:b/>
          <w:sz w:val="24"/>
          <w:u w:val="single"/>
        </w:rPr>
      </w:r>
    </w:p>
    <w:p>
      <w:pPr>
        <w:pStyle w:val="Normal"/>
        <w:spacing w:lineRule="exact" w:line="240"/>
        <w:ind w:end="180"/>
        <w:jc w:val="center"/>
        <w:rPr>
          <w:b/>
          <w:sz w:val="24"/>
        </w:rPr>
      </w:pPr>
      <w:r>
        <w:rPr>
          <w:b/>
          <w:sz w:val="24"/>
          <w:u w:val="single"/>
        </w:rPr>
        <w:t>Guaranty</w:t>
      </w:r>
    </w:p>
    <w:p>
      <w:pPr>
        <w:pStyle w:val="Normal"/>
        <w:spacing w:lineRule="exact" w:line="480"/>
        <w:jc w:val="both"/>
        <w:rPr>
          <w:b/>
          <w:sz w:val="24"/>
        </w:rPr>
      </w:pPr>
      <w:r>
        <w:rPr>
          <w:b/>
          <w:sz w:val="24"/>
        </w:rPr>
      </w:r>
    </w:p>
    <w:p>
      <w:pPr>
        <w:pStyle w:val="Normal"/>
        <w:spacing w:lineRule="atLeast" w:line="240"/>
        <w:ind w:firstLine="720" w:end="0"/>
        <w:jc w:val="both"/>
        <w:rPr/>
      </w:pPr>
      <w:r>
        <w:rPr>
          <w:sz w:val="24"/>
        </w:rPr>
        <w:t>This Guaranty ("</w:t>
      </w:r>
      <w:r>
        <w:rPr>
          <w:sz w:val="24"/>
          <w:u w:val="single"/>
        </w:rPr>
        <w:t>Guaranty</w:t>
      </w:r>
      <w:r>
        <w:rPr>
          <w:sz w:val="24"/>
        </w:rPr>
        <w:t>"), dated as of December __, 2000, is made and entered into by BOBCAT I LLC, a Delaware limited liability company ("</w:t>
      </w:r>
      <w:r>
        <w:rPr>
          <w:sz w:val="24"/>
          <w:u w:val="single"/>
        </w:rPr>
        <w:t>Bobcat</w:t>
      </w:r>
      <w:r>
        <w:rPr>
          <w:sz w:val="24"/>
        </w:rPr>
        <w:t>" or "</w:t>
      </w:r>
      <w:r>
        <w:rPr>
          <w:sz w:val="24"/>
          <w:u w:val="single"/>
        </w:rPr>
        <w:t>Guarantor</w:t>
      </w:r>
      <w:r>
        <w:rPr>
          <w:sz w:val="24"/>
        </w:rPr>
        <w:t>"), in favor of Pronghorn I LLC, a Delaware limited liability company ("</w:t>
      </w:r>
      <w:r>
        <w:rPr>
          <w:sz w:val="24"/>
          <w:u w:val="single"/>
        </w:rPr>
        <w:t>Beneficiary</w:t>
      </w:r>
      <w:r>
        <w:rPr>
          <w:sz w:val="24"/>
        </w:rPr>
        <w:t>").  Terms not defined herein shall have the meanings assigned to them in the Guaranteed Agreements (as defined below).</w:t>
      </w:r>
    </w:p>
    <w:p>
      <w:pPr>
        <w:pStyle w:val="BodyText3"/>
        <w:keepNext w:val="true"/>
        <w:spacing w:lineRule="exact" w:line="240" w:before="480" w:after="0"/>
        <w:rPr>
          <w:caps/>
          <w:sz w:val="24"/>
        </w:rPr>
      </w:pPr>
      <w:r>
        <w:rPr>
          <w:caps/>
          <w:sz w:val="24"/>
        </w:rPr>
        <w:t>W I T N E S S E T H:</w:t>
      </w:r>
    </w:p>
    <w:p>
      <w:pPr>
        <w:pStyle w:val="Normal"/>
        <w:spacing w:lineRule="atLeast" w:line="240"/>
        <w:jc w:val="both"/>
        <w:rPr>
          <w:caps/>
          <w:sz w:val="24"/>
        </w:rPr>
      </w:pPr>
      <w:r>
        <w:rPr>
          <w:caps/>
          <w:sz w:val="24"/>
        </w:rPr>
      </w:r>
    </w:p>
    <w:p>
      <w:pPr>
        <w:pStyle w:val="Normal"/>
        <w:spacing w:lineRule="atLeast" w:line="240"/>
        <w:ind w:firstLine="720" w:end="0"/>
        <w:jc w:val="both"/>
        <w:rPr/>
      </w:pPr>
      <w:r>
        <w:rPr>
          <w:sz w:val="24"/>
        </w:rPr>
        <w:t>A.</w:t>
        <w:tab/>
        <w:t>As of September 27, 2000, Porcupine I LLC, a Delaware limited liability company ("</w:t>
      </w:r>
      <w:r>
        <w:rPr>
          <w:sz w:val="24"/>
          <w:u w:val="single"/>
        </w:rPr>
        <w:t>Porcupine</w:t>
      </w:r>
      <w:r>
        <w:rPr>
          <w:sz w:val="24"/>
        </w:rPr>
        <w:t>"), and Beneficiary entered into the following:</w:t>
      </w:r>
    </w:p>
    <w:p>
      <w:pPr>
        <w:pStyle w:val="Normal"/>
        <w:spacing w:lineRule="atLeast" w:line="240"/>
        <w:ind w:firstLine="720" w:end="0"/>
        <w:jc w:val="both"/>
        <w:rPr>
          <w:sz w:val="24"/>
        </w:rPr>
      </w:pPr>
      <w:r>
        <w:rPr>
          <w:sz w:val="24"/>
        </w:rPr>
      </w:r>
    </w:p>
    <w:p>
      <w:pPr>
        <w:pStyle w:val="Normal"/>
        <w:spacing w:lineRule="atLeast" w:line="240"/>
        <w:ind w:start="720" w:end="0"/>
        <w:jc w:val="both"/>
        <w:rPr/>
      </w:pPr>
      <w:r>
        <w:rPr>
          <w:sz w:val="24"/>
        </w:rPr>
        <w:tab/>
        <w:t>1.</w:t>
        <w:tab/>
        <w:t>A Master Derivatives Agreement (as amended, supplemented, or modified, the "</w:t>
      </w:r>
      <w:r>
        <w:rPr>
          <w:sz w:val="24"/>
          <w:u w:val="single"/>
        </w:rPr>
        <w:t>Master Derivatives Agreement</w:t>
      </w:r>
      <w:r>
        <w:rPr>
          <w:sz w:val="24"/>
        </w:rPr>
        <w:t>");</w:t>
      </w:r>
    </w:p>
    <w:p>
      <w:pPr>
        <w:pStyle w:val="Normal"/>
        <w:spacing w:lineRule="atLeast" w:line="240"/>
        <w:ind w:firstLine="720" w:end="0"/>
        <w:jc w:val="both"/>
        <w:rPr>
          <w:sz w:val="24"/>
        </w:rPr>
      </w:pPr>
      <w:r>
        <w:rPr>
          <w:sz w:val="24"/>
        </w:rPr>
      </w:r>
    </w:p>
    <w:p>
      <w:pPr>
        <w:pStyle w:val="Normal"/>
        <w:spacing w:lineRule="atLeast" w:line="240"/>
        <w:ind w:start="720" w:end="0"/>
        <w:jc w:val="both"/>
        <w:rPr/>
      </w:pPr>
      <w:r>
        <w:rPr>
          <w:sz w:val="24"/>
        </w:rPr>
        <w:tab/>
        <w:t>2.</w:t>
        <w:tab/>
        <w:t>An ISDA Master Agreement (as amended, supplemented, or modified, including the schedule thereto and any confirmations executed in connection therewith, the "</w:t>
      </w:r>
      <w:r>
        <w:rPr>
          <w:sz w:val="24"/>
          <w:u w:val="single"/>
        </w:rPr>
        <w:t>Master Agreement</w:t>
      </w:r>
      <w:r>
        <w:rPr>
          <w:sz w:val="24"/>
        </w:rPr>
        <w:t>");</w:t>
      </w:r>
    </w:p>
    <w:p>
      <w:pPr>
        <w:pStyle w:val="Normal"/>
        <w:spacing w:lineRule="atLeast" w:line="240"/>
        <w:ind w:firstLine="720" w:end="0"/>
        <w:jc w:val="both"/>
        <w:rPr>
          <w:sz w:val="24"/>
        </w:rPr>
      </w:pPr>
      <w:r>
        <w:rPr>
          <w:sz w:val="24"/>
        </w:rPr>
        <w:tab/>
      </w:r>
    </w:p>
    <w:p>
      <w:pPr>
        <w:pStyle w:val="Normal"/>
        <w:spacing w:lineRule="atLeast" w:line="240"/>
        <w:ind w:start="720" w:end="0"/>
        <w:jc w:val="both"/>
        <w:rPr/>
      </w:pPr>
      <w:r>
        <w:rPr>
          <w:sz w:val="24"/>
        </w:rPr>
        <w:tab/>
        <w:t>3.</w:t>
        <w:tab/>
        <w:t>A promissory note made by Porcupine in the original principal amount of $259,212,085 payable to Beneficiary (as amended, supplemented, or modified, the "</w:t>
      </w:r>
      <w:r>
        <w:rPr>
          <w:sz w:val="24"/>
          <w:u w:val="single"/>
        </w:rPr>
        <w:t>Porcupine Term Note</w:t>
      </w:r>
      <w:r>
        <w:rPr>
          <w:sz w:val="24"/>
        </w:rPr>
        <w:t>"); and</w:t>
      </w:r>
    </w:p>
    <w:p>
      <w:pPr>
        <w:pStyle w:val="Normal"/>
        <w:spacing w:lineRule="atLeast" w:line="240"/>
        <w:ind w:start="720" w:end="0"/>
        <w:jc w:val="both"/>
        <w:rPr>
          <w:sz w:val="24"/>
        </w:rPr>
      </w:pPr>
      <w:r>
        <w:rPr>
          <w:sz w:val="24"/>
        </w:rPr>
      </w:r>
    </w:p>
    <w:p>
      <w:pPr>
        <w:pStyle w:val="Normal"/>
        <w:spacing w:lineRule="atLeast" w:line="240"/>
        <w:ind w:start="720" w:end="0"/>
        <w:jc w:val="both"/>
        <w:rPr/>
      </w:pPr>
      <w:r>
        <w:rPr>
          <w:sz w:val="24"/>
        </w:rPr>
        <w:tab/>
        <w:t>4.</w:t>
        <w:tab/>
        <w:t>A revolving promissory note made by Porcupine in the original principal amount of $50,000,000 and maximum principal amount of $740,787,915 payable to Beneficiary (as amended, supplemented, or modified, the "</w:t>
      </w:r>
      <w:r>
        <w:rPr>
          <w:sz w:val="24"/>
          <w:u w:val="single"/>
        </w:rPr>
        <w:t>Porcupine Revolving Note</w:t>
      </w:r>
      <w:r>
        <w:rPr>
          <w:sz w:val="24"/>
        </w:rPr>
        <w:t>")</w:t>
      </w:r>
      <w:r>
        <w:rPr>
          <w:rStyle w:val="FootnoteCharacters"/>
          <w:rStyle w:val="FootnoteReference"/>
          <w:sz w:val="24"/>
        </w:rPr>
        <w:footnoteReference w:id="2"/>
      </w:r>
      <w:r>
        <w:rPr>
          <w:sz w:val="24"/>
        </w:rPr>
        <w:t>.</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ab/>
        <w:t>The Master Derivatives Agreement, the Master Agreement, the Porcupine Term Note and the Porcupine Revolving Note, collectively, are referred to herein as the "</w:t>
      </w:r>
      <w:r>
        <w:rPr>
          <w:sz w:val="24"/>
          <w:u w:val="single"/>
        </w:rPr>
        <w:t>Guaranteed Agreements</w:t>
      </w:r>
      <w:r>
        <w:rPr>
          <w:sz w:val="24"/>
        </w:rPr>
        <w:t>".</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B.</w:t>
        <w:tab/>
        <w:t>As of the date hereof, Porcupine is entering into a Guaranty (the "</w:t>
      </w:r>
      <w:r>
        <w:rPr>
          <w:sz w:val="24"/>
          <w:u w:val="single"/>
        </w:rPr>
        <w:t>Porcupine Guaranty</w:t>
      </w:r>
      <w:r>
        <w:rPr>
          <w:sz w:val="24"/>
        </w:rPr>
        <w:t>") on terms similar to the terms hereof for purposes of guaranteeing the payment and performance of certain obligations of Bobcat to Roadrunner I LLC, a Delaware limited liability company.</w:t>
      </w:r>
    </w:p>
    <w:p>
      <w:pPr>
        <w:pStyle w:val="Normal"/>
        <w:spacing w:lineRule="atLeast" w:line="240"/>
        <w:ind w:firstLine="720" w:end="0"/>
        <w:jc w:val="both"/>
        <w:rPr>
          <w:sz w:val="24"/>
        </w:rPr>
      </w:pPr>
      <w:r>
        <w:rPr>
          <w:sz w:val="24"/>
        </w:rPr>
      </w:r>
    </w:p>
    <w:p>
      <w:pPr>
        <w:pStyle w:val="Normal"/>
        <w:numPr>
          <w:ilvl w:val="0"/>
          <w:numId w:val="2"/>
        </w:numPr>
        <w:tabs>
          <w:tab w:val="clear" w:pos="720"/>
        </w:tabs>
        <w:spacing w:lineRule="atLeast" w:line="240"/>
        <w:ind w:firstLine="720" w:start="0" w:end="0"/>
        <w:jc w:val="both"/>
        <w:rPr>
          <w:sz w:val="24"/>
        </w:rPr>
      </w:pPr>
      <w:r>
        <w:rPr>
          <w:sz w:val="24"/>
        </w:rPr>
        <w:t>Guarantor has concluded that it will derive substantial benefit from the transactions contemplated by the Porcupine Guaranty.</w:t>
      </w:r>
    </w:p>
    <w:p>
      <w:pPr>
        <w:pStyle w:val="Normal"/>
        <w:spacing w:lineRule="atLeast" w:line="240"/>
        <w:ind w:start="720" w:end="0"/>
        <w:jc w:val="both"/>
        <w:rPr>
          <w:sz w:val="24"/>
        </w:rPr>
      </w:pPr>
      <w:r>
        <w:rPr>
          <w:sz w:val="24"/>
        </w:rPr>
      </w:r>
    </w:p>
    <w:p>
      <w:pPr>
        <w:pStyle w:val="Normal"/>
        <w:numPr>
          <w:ilvl w:val="0"/>
          <w:numId w:val="2"/>
        </w:numPr>
        <w:tabs>
          <w:tab w:val="clear" w:pos="720"/>
        </w:tabs>
        <w:spacing w:lineRule="atLeast" w:line="240"/>
        <w:ind w:firstLine="720" w:start="0" w:end="0"/>
        <w:jc w:val="both"/>
        <w:rPr>
          <w:sz w:val="24"/>
        </w:rPr>
      </w:pPr>
      <w:r>
        <w:rPr>
          <w:sz w:val="24"/>
        </w:rPr>
        <w:t>Subject to Amendment No. 1 to the Master Agreement of even date herewith, this Guaranty shall constitute a Credit Support Document (as defined in the Master Agreement) with respect to Porcupine.</w:t>
      </w:r>
    </w:p>
    <w:p>
      <w:pPr>
        <w:pStyle w:val="Normal"/>
        <w:spacing w:lineRule="atLeast" w:line="240"/>
        <w:ind w:firstLine="720" w:end="0"/>
        <w:jc w:val="both"/>
        <w:rPr>
          <w:sz w:val="24"/>
        </w:rPr>
      </w:pPr>
      <w:r>
        <w:rPr>
          <w:sz w:val="24"/>
        </w:rPr>
      </w:r>
    </w:p>
    <w:p>
      <w:pPr>
        <w:pStyle w:val="Normal"/>
        <w:keepNext w:val="true"/>
        <w:keepLines/>
        <w:spacing w:lineRule="atLeast" w:line="240"/>
        <w:ind w:firstLine="720" w:end="0"/>
        <w:jc w:val="both"/>
        <w:rPr>
          <w:sz w:val="24"/>
        </w:rPr>
      </w:pPr>
      <w:r>
        <w:rPr>
          <w:sz w:val="24"/>
        </w:rPr>
        <w:t xml:space="preserve">NOW THEREFORE, in consideration of Porcupine entering into the Porcupine Guaranty, Guarantor hereby covenants and agrees as follows:  </w:t>
      </w:r>
    </w:p>
    <w:p>
      <w:pPr>
        <w:pStyle w:val="Normal"/>
        <w:keepNext w:val="true"/>
        <w:keepLines/>
        <w:spacing w:lineRule="atLeast" w:line="240"/>
        <w:ind w:firstLine="720" w:end="0"/>
        <w:jc w:val="both"/>
        <w:rPr>
          <w:sz w:val="24"/>
        </w:rPr>
      </w:pPr>
      <w:r>
        <w:rPr>
          <w:sz w:val="24"/>
        </w:rPr>
      </w:r>
    </w:p>
    <w:p>
      <w:pPr>
        <w:pStyle w:val="Normal"/>
        <w:keepNext w:val="true"/>
        <w:numPr>
          <w:ilvl w:val="0"/>
          <w:numId w:val="4"/>
        </w:numPr>
        <w:spacing w:lineRule="atLeast" w:line="240"/>
        <w:jc w:val="both"/>
        <w:rPr>
          <w:sz w:val="24"/>
        </w:rPr>
      </w:pPr>
      <w:r>
        <w:rPr>
          <w:b/>
          <w:sz w:val="24"/>
          <w:u w:val="single"/>
        </w:rPr>
        <w:t>GUARANTY</w:t>
      </w:r>
      <w:r>
        <w:rPr>
          <w:sz w:val="24"/>
        </w:rPr>
        <w:t xml:space="preserve">.  </w:t>
      </w:r>
    </w:p>
    <w:p>
      <w:pPr>
        <w:pStyle w:val="Normal"/>
        <w:keepNext w:val="true"/>
        <w:spacing w:lineRule="atLeast" w:line="240"/>
        <w:ind w:start="720" w:end="0"/>
        <w:jc w:val="both"/>
        <w:rPr>
          <w:sz w:val="24"/>
        </w:rPr>
      </w:pPr>
      <w:r>
        <w:rPr>
          <w:sz w:val="24"/>
        </w:rPr>
      </w:r>
    </w:p>
    <w:p>
      <w:pPr>
        <w:pStyle w:val="Normal"/>
        <w:numPr>
          <w:ilvl w:val="0"/>
          <w:numId w:val="3"/>
        </w:numPr>
        <w:tabs>
          <w:tab w:val="left" w:pos="720" w:leader="none"/>
        </w:tabs>
        <w:ind w:firstLine="720" w:start="720" w:end="0"/>
        <w:jc w:val="both"/>
        <w:rPr>
          <w:sz w:val="24"/>
        </w:rPr>
      </w:pPr>
      <w:r>
        <w:rPr>
          <w:i/>
          <w:sz w:val="24"/>
        </w:rPr>
        <w:t>Payment.</w:t>
      </w:r>
      <w:r>
        <w:rPr>
          <w:sz w:val="24"/>
        </w:rPr>
        <w:t xml:space="preserve">  Guarantor hereby unconditionally and irrevocably guarantees the timely payment when due, whether at stated maturity, by acceleration or otherwise, of all obligations of Porcupine now or hereafter existing under the Guaranteed Agreements (such obligations being the "</w:t>
      </w:r>
      <w:r>
        <w:rPr>
          <w:sz w:val="24"/>
          <w:u w:val="single"/>
        </w:rPr>
        <w:t>Payment Obligations</w:t>
      </w:r>
      <w:r>
        <w:rPr>
          <w:sz w:val="24"/>
        </w:rPr>
        <w:t xml:space="preserve">"), and agrees to pay any and all reasonable expenses (including counsel fees and disbursements) incurred by Beneficiary or any assignee thereof in enforcing any rights under this Guaranty, should Guarantor be required to pay under this Guaranty.  Without limiting the generality of the foregoing, Guarantor's liability shall extend to all amounts which would be owed by Porcupine to Beneficiary under the Guaranteed Agreements but for the fact that they are unenforceable or not allowable due to the existence of a bankruptcy, reorganization, or similar proceeding involving Porcupine. </w:t>
      </w:r>
    </w:p>
    <w:p>
      <w:pPr>
        <w:pStyle w:val="Normal"/>
        <w:jc w:val="both"/>
        <w:rPr>
          <w:b/>
          <w:sz w:val="24"/>
        </w:rPr>
      </w:pPr>
      <w:r>
        <w:rPr>
          <w:b/>
          <w:sz w:val="24"/>
        </w:rPr>
      </w:r>
    </w:p>
    <w:p>
      <w:pPr>
        <w:pStyle w:val="Normal"/>
        <w:ind w:firstLine="720" w:start="720" w:end="0"/>
        <w:jc w:val="both"/>
        <w:rPr/>
      </w:pPr>
      <w:r>
        <w:rPr>
          <w:sz w:val="24"/>
        </w:rPr>
        <w:t>(b)</w:t>
        <w:tab/>
      </w:r>
      <w:r>
        <w:rPr>
          <w:i/>
          <w:sz w:val="24"/>
        </w:rPr>
        <w:t>Performance.</w:t>
      </w:r>
      <w:r>
        <w:rPr>
          <w:sz w:val="24"/>
        </w:rPr>
        <w:t xml:space="preserve">  Subject to the provisions hereof, Guarantor hereby irrevocably and unconditionally guarantees the performance of Porcupine's obligations pursuant to the Guaranteed Agreements (the "</w:t>
      </w:r>
      <w:r>
        <w:rPr>
          <w:sz w:val="24"/>
          <w:u w:val="single"/>
        </w:rPr>
        <w:t>Delivery Obligations</w:t>
      </w:r>
      <w:r>
        <w:rPr>
          <w:sz w:val="24"/>
        </w:rPr>
        <w:t>").  The Payment Obligations and the Delivery Obligations together are referred to herein as the "</w:t>
      </w:r>
      <w:r>
        <w:rPr>
          <w:sz w:val="24"/>
          <w:u w:val="single"/>
        </w:rPr>
        <w:t>Obligations</w:t>
      </w:r>
      <w:r>
        <w:rPr>
          <w:sz w:val="24"/>
        </w:rPr>
        <w:t>".</w:t>
      </w:r>
    </w:p>
    <w:p>
      <w:pPr>
        <w:pStyle w:val="Normal"/>
        <w:jc w:val="both"/>
        <w:rPr>
          <w:sz w:val="24"/>
        </w:rPr>
      </w:pPr>
      <w:r>
        <w:rPr>
          <w:sz w:val="24"/>
        </w:rPr>
      </w:r>
    </w:p>
    <w:p>
      <w:pPr>
        <w:pStyle w:val="Normal"/>
        <w:numPr>
          <w:ilvl w:val="0"/>
          <w:numId w:val="1"/>
        </w:numPr>
        <w:tabs>
          <w:tab w:val="left" w:pos="720" w:leader="none"/>
        </w:tabs>
        <w:ind w:firstLine="720" w:start="720" w:end="0"/>
        <w:jc w:val="both"/>
        <w:rPr>
          <w:sz w:val="24"/>
        </w:rPr>
      </w:pPr>
      <w:r>
        <w:rPr>
          <w:sz w:val="24"/>
        </w:rPr>
        <w:t>Guarantor's liability hereunder in respect of Payment Obligations shall be and is specifically limited to payments expressly required to be made under the Guaranteed Agreements (even if such payments are deemed to be damages) and, except to the extent specifically provided in the Guaranteed Agreements, in no event shall Guarantor be subject hereunder to consequential, exemplary, equitable, loss of profits, punitive, tort, or any other damages, costs, or attorney's fees.</w:t>
      </w:r>
    </w:p>
    <w:p>
      <w:pPr>
        <w:pStyle w:val="Normal"/>
        <w:tabs>
          <w:tab w:val="clear" w:pos="720"/>
          <w:tab w:val="left" w:pos="2880" w:leader="none"/>
        </w:tabs>
        <w:jc w:val="both"/>
        <w:rPr>
          <w:sz w:val="24"/>
        </w:rPr>
      </w:pPr>
      <w:r>
        <w:rPr>
          <w:sz w:val="24"/>
        </w:rPr>
      </w:r>
    </w:p>
    <w:p>
      <w:pPr>
        <w:pStyle w:val="Normal"/>
        <w:spacing w:lineRule="atLeast" w:line="240"/>
        <w:ind w:firstLine="720" w:end="0"/>
        <w:jc w:val="both"/>
        <w:rPr/>
      </w:pPr>
      <w:r>
        <w:rPr>
          <w:sz w:val="24"/>
        </w:rPr>
        <w:t>2.</w:t>
        <w:tab/>
      </w:r>
      <w:r>
        <w:rPr>
          <w:b/>
          <w:sz w:val="24"/>
          <w:u w:val="single"/>
        </w:rPr>
        <w:t>DEMANDS AND NOTICE</w:t>
      </w:r>
      <w:r>
        <w:rPr>
          <w:b/>
          <w:sz w:val="24"/>
        </w:rPr>
        <w:t>.</w:t>
      </w:r>
      <w:r>
        <w:rPr>
          <w:sz w:val="24"/>
        </w:rPr>
        <w:t xml:space="preserve">  If Porcupine fails or refuses to pay any Payment Obligations or to satisfy its Delivery Obligations, Beneficiary shall notify Porcupine in writing of the manner in which Porcupine has failed to pay or perform, as appropriate, those obligations due and owing to such Beneficiary and demand that payment or performance be made by Porcupine.  If Porcupine fails or refuses to pay any Payment Obligations or satisfy its Delivery Obligations after the expiration of five Business Days from Beneficiary's notice to Porcupine and Beneficiary has elected to exercise its rights under this Guaranty, Beneficiary shall have the right to make a demand upon Guarantor (hereinafter referred to as a "</w:t>
      </w:r>
      <w:r>
        <w:rPr>
          <w:sz w:val="24"/>
          <w:u w:val="single"/>
        </w:rPr>
        <w:t>Demand</w:t>
      </w:r>
      <w:r>
        <w:rPr>
          <w:sz w:val="24"/>
        </w:rPr>
        <w:t>").  A Demand shall be in writing and shall reasonably specify in what manner and what amount Porcupine has failed to pay or perform those obligations due and owing to Beneficiary and an explanation of why such payment or performance is due, with a specific statement that Beneficiary is calling upon Guarantor to pay or perform, as appropriate, under this Guaranty.  A Demand satisfying the foregoing requirements shall be required with respect to the Obligations before Guarantor is required to pay such Payment Obligations or perform such Delivery Obligations hereunder and shall be deemed sufficient notice to Guarantor that it must pay the Payment Obligations or perform the Delivery Obligations within five Business Days after its receipt of the Demand.  A single written Demand shall be effective as to any specific default during the continuance of such default, until Porcupine or Guarantor has cured such default, and additional written demands concerning such default shall not be required until such default is cured.</w:t>
      </w:r>
    </w:p>
    <w:p>
      <w:pPr>
        <w:pStyle w:val="Normal"/>
        <w:spacing w:lineRule="atLeast" w:line="240"/>
        <w:ind w:firstLine="720" w:end="0"/>
        <w:jc w:val="both"/>
        <w:rPr>
          <w:sz w:val="24"/>
        </w:rPr>
      </w:pPr>
      <w:r>
        <w:rPr>
          <w:sz w:val="24"/>
        </w:rPr>
      </w:r>
    </w:p>
    <w:p>
      <w:pPr>
        <w:pStyle w:val="Normal"/>
        <w:keepNext w:val="true"/>
        <w:spacing w:lineRule="atLeast" w:line="240"/>
        <w:ind w:firstLine="720" w:end="0"/>
        <w:jc w:val="both"/>
        <w:rPr/>
      </w:pPr>
      <w:r>
        <w:rPr>
          <w:sz w:val="24"/>
        </w:rPr>
        <w:t>3.</w:t>
        <w:tab/>
      </w:r>
      <w:r>
        <w:rPr>
          <w:b/>
          <w:sz w:val="24"/>
          <w:u w:val="single"/>
        </w:rPr>
        <w:t>REPRESENTATIONS AND WARRANTIES</w:t>
      </w:r>
      <w:r>
        <w:rPr>
          <w:sz w:val="24"/>
        </w:rPr>
        <w:t>.  Guarantor represents and warrants that:</w:t>
      </w:r>
    </w:p>
    <w:p>
      <w:pPr>
        <w:pStyle w:val="Normal"/>
        <w:keepNext w:val="true"/>
        <w:spacing w:lineRule="atLeast" w:line="240" w:before="240" w:after="0"/>
        <w:ind w:firstLine="720" w:end="0"/>
        <w:jc w:val="both"/>
        <w:rPr>
          <w:sz w:val="24"/>
        </w:rPr>
      </w:pPr>
      <w:r>
        <w:rPr>
          <w:sz w:val="24"/>
        </w:rPr>
        <w:tab/>
        <w:t>(a)</w:t>
        <w:tab/>
        <w:t xml:space="preserve">it is duly formed and validly existing under the laws of the jurisdiction of its formation and has the power and authority to execute, deliver, and carry out the terms and provisions of this Guaranty; </w:t>
      </w:r>
    </w:p>
    <w:p>
      <w:pPr>
        <w:pStyle w:val="Normal"/>
        <w:spacing w:lineRule="atLeast" w:line="240" w:before="240" w:after="0"/>
        <w:ind w:firstLine="720" w:end="0"/>
        <w:jc w:val="both"/>
        <w:rPr>
          <w:sz w:val="24"/>
        </w:rPr>
      </w:pPr>
      <w:r>
        <w:rPr>
          <w:sz w:val="24"/>
        </w:rPr>
        <w:tab/>
        <w:t>(b)</w:t>
        <w:tab/>
        <w:t xml:space="preserve">no authorization, approval, consent, or order of, or registration or filing with, any court or other governmental body having jurisdiction over Guarantor is required on the part of Guarantor for the execution and delivery of this Guaranty; </w:t>
      </w:r>
    </w:p>
    <w:p>
      <w:pPr>
        <w:pStyle w:val="Normal"/>
        <w:spacing w:lineRule="atLeast" w:line="240" w:before="240" w:after="0"/>
        <w:ind w:firstLine="720" w:end="0"/>
        <w:jc w:val="both"/>
        <w:rPr/>
      </w:pPr>
      <w:r>
        <w:rPr>
          <w:sz w:val="24"/>
        </w:rPr>
        <w:tab/>
        <w:t>(c)</w:t>
        <w:tab/>
        <w:t>the execution, delivery, and performance by Guarantor of this Guaranty does not contravene, or constitute a default under, any provision of law or regulation applicable to Guarantor or the amended and restated limited liability company agreement, as amended (including by Amendment No. 2 thereto of even date herewith), of Guarantor or any judgment, injunction, order, decree, or material ("material" for the purposes of this representation meaning creating a liability of $100,000,000</w:t>
      </w:r>
      <w:r>
        <w:rPr/>
        <w:t xml:space="preserve"> </w:t>
      </w:r>
      <w:r>
        <w:rPr>
          <w:sz w:val="24"/>
        </w:rPr>
        <w:t>or more) agreement binding upon Guarantor or result in the creation or imposition of any lien, security interest, or other charge or encumbrance on any asset of Guarantor; and</w:t>
      </w:r>
    </w:p>
    <w:p>
      <w:pPr>
        <w:pStyle w:val="Normal"/>
        <w:spacing w:lineRule="atLeast" w:line="240" w:before="240" w:after="0"/>
        <w:ind w:firstLine="720" w:end="0"/>
        <w:jc w:val="both"/>
        <w:rPr>
          <w:sz w:val="24"/>
        </w:rPr>
      </w:pPr>
      <w:r>
        <w:rPr>
          <w:sz w:val="24"/>
        </w:rPr>
        <w:tab/>
        <w:t>(d)</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4"/>
        </w:rPr>
      </w:pPr>
      <w:r>
        <w:rPr>
          <w:sz w:val="24"/>
        </w:rPr>
      </w:r>
    </w:p>
    <w:p>
      <w:pPr>
        <w:pStyle w:val="Normal"/>
        <w:spacing w:lineRule="atLeast" w:line="240"/>
        <w:ind w:firstLine="720" w:end="0"/>
        <w:jc w:val="both"/>
        <w:rPr/>
      </w:pPr>
      <w:r>
        <w:rPr>
          <w:sz w:val="24"/>
        </w:rPr>
        <w:t>4.</w:t>
        <w:tab/>
      </w:r>
      <w:r>
        <w:rPr>
          <w:b/>
          <w:sz w:val="24"/>
          <w:u w:val="single"/>
        </w:rPr>
        <w:t>SETOFFS AND COUNTERCLAIMS</w:t>
      </w:r>
      <w:r>
        <w:rPr>
          <w:sz w:val="24"/>
        </w:rPr>
        <w:t>.  Without limiting Guarantor's own defenses and rights hereunder and notwithstanding the provisions in Section 8 hereof, Guarantor reserves to itself all rights, setoffs, counterclaims, and other defenses to which Porcupine is or may be entitled arising from or out of the Guaranteed Agreements except for defenses arising out of the bankruptcy, insolvency, dissolution or liquidation of Porcupine.</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5.</w:t>
        <w:tab/>
      </w:r>
      <w:r>
        <w:rPr>
          <w:b/>
          <w:sz w:val="24"/>
          <w:u w:val="single"/>
        </w:rPr>
        <w:t>AMENDMENT OF GUARANTY</w:t>
      </w:r>
      <w:r>
        <w:rPr>
          <w:sz w:val="24"/>
        </w:rPr>
        <w:t>.  No term or provision of this Guaranty shall be amended, modified, altered, waived or supplemented except in a writing signed by Guarantor and Beneficiary.</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6.</w:t>
        <w:tab/>
      </w:r>
      <w:r>
        <w:rPr>
          <w:b/>
          <w:sz w:val="24"/>
          <w:u w:val="single"/>
        </w:rPr>
        <w:t>WAIVERS</w:t>
      </w:r>
      <w:r>
        <w:rPr>
          <w:sz w:val="24"/>
        </w:rPr>
        <w:t>.  Guarantor hereby waives (a) notice of acceptance of this Guaranty; (b) presentment and demand concerning the liabilities of Guarantor, except as expressly hereinabove set forth; and (c) any right to require that any action or proceeding be brought against Porcupine or any other Person, or except as expressly hereinabove set forth, to require that Beneficiary seek enforcement of any payment or performance against Porcupine or any other Person, prior to any action against Guarantor under the terms hereof.</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Except as to applicable statutes of limitation, no delay of Beneficiary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Guarantor consents to the renewal, compromise, extension, acceleration, or other changes in the time of payment of or other changes in the terms of the Obligations, or any part thereof, or any changes or modifications to the terms of the Guaranteed Agreements.</w:t>
      </w:r>
    </w:p>
    <w:p>
      <w:pPr>
        <w:pStyle w:val="Normal"/>
        <w:spacing w:lineRule="atLeast" w:line="240"/>
        <w:ind w:firstLine="720" w:end="0"/>
        <w:jc w:val="both"/>
        <w:rPr>
          <w:sz w:val="24"/>
        </w:rPr>
      </w:pPr>
      <w:r>
        <w:rPr>
          <w:sz w:val="24"/>
        </w:rPr>
      </w:r>
    </w:p>
    <w:p>
      <w:pPr>
        <w:pStyle w:val="Normal"/>
        <w:spacing w:lineRule="atLeast" w:line="240"/>
        <w:ind w:firstLine="720" w:end="0"/>
        <w:jc w:val="both"/>
        <w:rPr>
          <w:sz w:val="24"/>
        </w:rPr>
      </w:pPr>
      <w:r>
        <w:rPr>
          <w:sz w:val="24"/>
        </w:rPr>
        <w:t xml:space="preserve">Guarantor may terminate this Guaranty at any time by providing written notice of such termination to Beneficiary and upon the effectiveness of such termination, Guarantor shall have no further liability hereunder.  No such termination shall be effective until five Business Days after receipt by Beneficiary of such termination notice.  </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7.</w:t>
        <w:tab/>
      </w:r>
      <w:r>
        <w:rPr>
          <w:b/>
          <w:bCs/>
          <w:sz w:val="24"/>
          <w:u w:val="single"/>
        </w:rPr>
        <w:t>BENEFIT OF GUARANTEE</w:t>
      </w:r>
      <w:r>
        <w:rPr>
          <w:sz w:val="24"/>
        </w:rPr>
        <w:t>.  Subject to the remainder of this Section 7, the provisions of this Guaranty are for the benefit of and shall be enforceable by Beneficiary and its respective successors, transferees, endorsees and assigns.  Except upon the transfer, endorsement or assignment by Beneficiary of any of the Obligations, neither this Guaranty nor any interest in or obligation under this Guaranty may be transferred (whether by way of security or otherwise) by Beneficiary without the prior written consent of Guarantor.  Any purported transfer that is not in compliance with this Section will be void.  In the event all or any part of the Obligations are transferred, endorsed or assigned by the Beneficiary to any other Person or Persons in accordance with the terms of the Guaranteed Agreements, any reference to "Beneficiary" herein shall be deemed to refer equally to such Person or Persons with respect to the transferred, endorsed or assigned Obligations.  Except for the Beneficiary's successors, transferees, endorsees and assigns permitted in accordance with this Section 7, there are no third-party beneficiaries to this Guaranty.</w:t>
      </w:r>
    </w:p>
    <w:p>
      <w:pPr>
        <w:pStyle w:val="Normal"/>
        <w:spacing w:lineRule="atLeast" w:line="240"/>
        <w:ind w:firstLine="720" w:end="0"/>
        <w:jc w:val="both"/>
        <w:rPr>
          <w:sz w:val="24"/>
        </w:rPr>
      </w:pPr>
      <w:r>
        <w:rPr>
          <w:sz w:val="24"/>
        </w:rPr>
      </w:r>
    </w:p>
    <w:p>
      <w:pPr>
        <w:pStyle w:val="Normal"/>
        <w:jc w:val="both"/>
        <w:rPr/>
      </w:pPr>
      <w:r>
        <w:rPr>
          <w:sz w:val="24"/>
        </w:rPr>
        <w:tab/>
        <w:t>8.</w:t>
        <w:tab/>
      </w:r>
      <w:r>
        <w:rPr>
          <w:b/>
          <w:sz w:val="24"/>
          <w:u w:val="single"/>
        </w:rPr>
        <w:t>OBLIGATIONS ABSOLUTE</w:t>
      </w:r>
      <w:r>
        <w:rPr>
          <w:sz w:val="24"/>
        </w:rPr>
        <w:t>.  Guarantor agrees that it will perform its obligations hereunder strictly in accordance with the terms of this Guaranty regardless of any law, regulation or order now or hereafter in effect in any jurisdiction affecting any of such terms or the rights of Beneficiary with respect thereto.  The obligations of Guarantor under this Guaranty are independent of the obligations of Porcupine or any other Person under the Guaranteed Agreements, and separate arbitration proceedings conducted pursuant to Section 10 hereof may be brought against Guarantor to enforce this Guaranty, irrespective of whether any action or arbitration proceeding is brought against Porcupine or any other Person or whether Porcupine or any other Person is joined in any such action or arbitration proceeding.  Subject to Sections 1(c) and 4 hereof, the liability of Guarantor under this Guaranty shall be absolute and unconditional irrespective of:</w:t>
      </w:r>
    </w:p>
    <w:p>
      <w:pPr>
        <w:pStyle w:val="Normal"/>
        <w:jc w:val="both"/>
        <w:rPr>
          <w:sz w:val="24"/>
        </w:rPr>
      </w:pPr>
      <w:r>
        <w:rPr>
          <w:sz w:val="24"/>
        </w:rPr>
      </w:r>
    </w:p>
    <w:p>
      <w:pPr>
        <w:pStyle w:val="Normal"/>
        <w:ind w:start="720" w:end="0"/>
        <w:jc w:val="both"/>
        <w:rPr>
          <w:sz w:val="24"/>
        </w:rPr>
      </w:pPr>
      <w:r>
        <w:rPr>
          <w:sz w:val="24"/>
        </w:rPr>
        <w:tab/>
        <w:t>(i)</w:t>
        <w:tab/>
        <w:t>any lack of validity or enforceability of the Guaranteed Agreements;</w:t>
      </w:r>
    </w:p>
    <w:p>
      <w:pPr>
        <w:pStyle w:val="Normal"/>
        <w:jc w:val="both"/>
        <w:rPr>
          <w:sz w:val="24"/>
        </w:rPr>
      </w:pPr>
      <w:r>
        <w:rPr>
          <w:sz w:val="24"/>
        </w:rPr>
      </w:r>
    </w:p>
    <w:p>
      <w:pPr>
        <w:pStyle w:val="Normal"/>
        <w:ind w:start="720" w:end="0"/>
        <w:jc w:val="both"/>
        <w:rPr>
          <w:sz w:val="24"/>
        </w:rPr>
      </w:pPr>
      <w:r>
        <w:rPr>
          <w:sz w:val="24"/>
        </w:rPr>
        <w:tab/>
        <w:t>(ii)</w:t>
        <w:tab/>
        <w:t>any change in the time, manner, or place of payment of, all or any of the obligations under, or in any other term of, any of the Guaranteed Agreements or any other liabilities or any other amendment or waiver of or any consent to departure from the Guaranteed Agreements, including, without limitation, any increase in the Payment Obligations or any other liabilities resulting from the extension of additional credit or otherwise and any modification to the Delivery Obligations;</w:t>
      </w:r>
    </w:p>
    <w:p>
      <w:pPr>
        <w:pStyle w:val="Normal"/>
        <w:jc w:val="both"/>
        <w:rPr>
          <w:sz w:val="24"/>
        </w:rPr>
      </w:pPr>
      <w:r>
        <w:rPr>
          <w:sz w:val="24"/>
        </w:rPr>
      </w:r>
    </w:p>
    <w:p>
      <w:pPr>
        <w:pStyle w:val="Normal"/>
        <w:ind w:start="720" w:end="0"/>
        <w:jc w:val="both"/>
        <w:rPr>
          <w:sz w:val="24"/>
        </w:rPr>
      </w:pPr>
      <w:r>
        <w:rPr>
          <w:sz w:val="24"/>
        </w:rPr>
        <w:tab/>
        <w:t>(iii)</w:t>
        <w:tab/>
        <w:t>any taking, exchange, release or non</w:t>
        <w:noBreakHyphen/>
        <w:t>perfection of any collateral, or any taking release or amendment or waiver of or consent to departure from any guaranty for all or any of the  Obligations or any other liabilities;</w:t>
      </w:r>
    </w:p>
    <w:p>
      <w:pPr>
        <w:pStyle w:val="Normal"/>
        <w:jc w:val="both"/>
        <w:rPr>
          <w:sz w:val="24"/>
        </w:rPr>
      </w:pPr>
      <w:r>
        <w:rPr>
          <w:sz w:val="24"/>
        </w:rPr>
      </w:r>
    </w:p>
    <w:p>
      <w:pPr>
        <w:pStyle w:val="Normal"/>
        <w:ind w:start="720" w:end="0"/>
        <w:jc w:val="both"/>
        <w:rPr>
          <w:sz w:val="24"/>
        </w:rPr>
      </w:pPr>
      <w:r>
        <w:rPr>
          <w:sz w:val="24"/>
        </w:rPr>
        <w:tab/>
        <w:t>(iv)</w:t>
        <w:tab/>
        <w:t>any manner of application of collateral, or proceeds thereof or of collections on account of any guaranty, to all or any of the Obligations or any other liabilities, or any manner of sale or other disposition of any collateral for all or any of the Obligations or any other liabilities or of any other assets of Porcupine or any other Person;</w:t>
      </w:r>
    </w:p>
    <w:p>
      <w:pPr>
        <w:pStyle w:val="Normal"/>
        <w:jc w:val="both"/>
        <w:rPr>
          <w:sz w:val="24"/>
        </w:rPr>
      </w:pPr>
      <w:r>
        <w:rPr>
          <w:sz w:val="24"/>
        </w:rPr>
      </w:r>
    </w:p>
    <w:p>
      <w:pPr>
        <w:pStyle w:val="Normal"/>
        <w:ind w:start="720" w:end="0"/>
        <w:jc w:val="both"/>
        <w:rPr>
          <w:sz w:val="24"/>
        </w:rPr>
      </w:pPr>
      <w:r>
        <w:rPr>
          <w:sz w:val="24"/>
        </w:rPr>
        <w:tab/>
        <w:t>(v)</w:t>
        <w:tab/>
        <w:t>any liquidation, dissolution or termination of existence of, or other change in Porcupine or any other Person;</w:t>
      </w:r>
    </w:p>
    <w:p>
      <w:pPr>
        <w:pStyle w:val="Normal"/>
        <w:jc w:val="both"/>
        <w:rPr>
          <w:sz w:val="24"/>
        </w:rPr>
      </w:pPr>
      <w:r>
        <w:rPr>
          <w:sz w:val="24"/>
        </w:rPr>
      </w:r>
    </w:p>
    <w:p>
      <w:pPr>
        <w:pStyle w:val="Normal"/>
        <w:ind w:start="720" w:end="0"/>
        <w:jc w:val="both"/>
        <w:rPr>
          <w:sz w:val="24"/>
        </w:rPr>
      </w:pPr>
      <w:r>
        <w:rPr>
          <w:sz w:val="24"/>
        </w:rPr>
        <w:tab/>
        <w:t>(vi)</w:t>
        <w:tab/>
        <w:t>any bankruptcy, insolvency, receivership or other proceeding involving Porcupine or any other Person or any defense that may arise in connection with or as a result of any such bankruptcy, insolvency, receivership or other proceeding or otherwise; or</w:t>
      </w:r>
    </w:p>
    <w:p>
      <w:pPr>
        <w:pStyle w:val="Normal"/>
        <w:jc w:val="both"/>
        <w:rPr>
          <w:sz w:val="24"/>
        </w:rPr>
      </w:pPr>
      <w:r>
        <w:rPr>
          <w:sz w:val="24"/>
        </w:rPr>
      </w:r>
    </w:p>
    <w:p>
      <w:pPr>
        <w:pStyle w:val="Normal"/>
        <w:ind w:start="720" w:end="0"/>
        <w:jc w:val="both"/>
        <w:rPr>
          <w:sz w:val="24"/>
        </w:rPr>
      </w:pPr>
      <w:r>
        <w:rPr>
          <w:sz w:val="24"/>
        </w:rPr>
        <w:tab/>
        <w:t>(vii)</w:t>
        <w:tab/>
        <w:t>any other circumstances which might otherwise constitute a defense (other than payment of the Payment Obligations or performance of the Delivery Obligations by Porcupine) available to or a discharge of, Porcupine, a surety or any other Person.</w:t>
      </w:r>
    </w:p>
    <w:p>
      <w:pPr>
        <w:pStyle w:val="Normal"/>
        <w:jc w:val="both"/>
        <w:rPr>
          <w:sz w:val="24"/>
        </w:rPr>
      </w:pPr>
      <w:r>
        <w:rPr>
          <w:sz w:val="24"/>
        </w:rPr>
      </w:r>
    </w:p>
    <w:p>
      <w:pPr>
        <w:pStyle w:val="Normal"/>
        <w:spacing w:lineRule="atLeast" w:line="240"/>
        <w:ind w:firstLine="720" w:end="0"/>
        <w:jc w:val="both"/>
        <w:rPr>
          <w:sz w:val="24"/>
        </w:rPr>
      </w:pPr>
      <w:r>
        <w:rPr>
          <w:sz w:val="24"/>
        </w:rPr>
        <w:tab/>
        <w:t>This Guaranty shall continue to be effective or be reinstated, as the case may be, if at any time any payment of any of the Payment Obligations or performance of any of the Delivery Obligations is rescinded or must otherwise be returned by Beneficiary upon the insolvency, bankruptcy, or reorganization of Porcupine or otherwise, all as though such payment or performance had not been made.</w:t>
      </w:r>
    </w:p>
    <w:p>
      <w:pPr>
        <w:pStyle w:val="Normal"/>
        <w:spacing w:lineRule="atLeast" w:line="240"/>
        <w:ind w:firstLine="720" w:end="0"/>
        <w:jc w:val="both"/>
        <w:rPr>
          <w:sz w:val="24"/>
        </w:rPr>
      </w:pPr>
      <w:r>
        <w:rPr>
          <w:sz w:val="24"/>
        </w:rPr>
      </w:r>
    </w:p>
    <w:p>
      <w:pPr>
        <w:pStyle w:val="Normal"/>
        <w:spacing w:lineRule="atLeast" w:line="240"/>
        <w:ind w:firstLine="720" w:end="0"/>
        <w:jc w:val="both"/>
        <w:rPr/>
      </w:pPr>
      <w:r>
        <w:rPr>
          <w:sz w:val="24"/>
        </w:rPr>
        <w:t>9.</w:t>
        <w:tab/>
      </w:r>
      <w:r>
        <w:rPr>
          <w:b/>
          <w:sz w:val="24"/>
          <w:u w:val="single"/>
        </w:rPr>
        <w:t>NOTICE</w:t>
      </w:r>
      <w:r>
        <w:rPr>
          <w:sz w:val="24"/>
        </w:rPr>
        <w:t>.  Any Demand, notice, request, instruction, correspondence or other document to be given hereunder by any party to another (herein collectively called "</w:t>
      </w:r>
      <w:r>
        <w:rPr>
          <w:sz w:val="24"/>
          <w:u w:val="single"/>
        </w:rPr>
        <w:t>Notice</w:t>
      </w:r>
      <w:r>
        <w:rPr/>
        <w:t>") shall be in writing and delivered personally or mailed by certified mail, postage prepaid and return receipt requested, or by telecopier, as follows:</w:t>
      </w:r>
    </w:p>
    <w:tbl>
      <w:tblPr>
        <w:tblW w:w="10278" w:type="dxa"/>
        <w:jc w:val="start"/>
        <w:tblInd w:w="0" w:type="dxa"/>
        <w:tblLayout w:type="fixed"/>
        <w:tblCellMar>
          <w:top w:w="0" w:type="dxa"/>
          <w:start w:w="108" w:type="dxa"/>
          <w:bottom w:w="0" w:type="dxa"/>
          <w:end w:w="108" w:type="dxa"/>
        </w:tblCellMar>
      </w:tblPr>
      <w:tblGrid>
        <w:gridCol w:w="1818"/>
        <w:gridCol w:w="3420"/>
        <w:gridCol w:w="1710"/>
        <w:gridCol w:w="3330"/>
      </w:tblGrid>
      <w:tr>
        <w:trPr/>
        <w:tc>
          <w:tcPr>
            <w:tcW w:w="1818" w:type="dxa"/>
            <w:tcBorders/>
          </w:tcPr>
          <w:p>
            <w:pPr>
              <w:pStyle w:val="Normal"/>
              <w:keepNext w:val="true"/>
              <w:keepLines/>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tabs>
                <w:tab w:val="clear" w:pos="720"/>
                <w:tab w:val="left" w:pos="1440" w:leader="none"/>
              </w:tabs>
              <w:jc w:val="both"/>
              <w:rPr/>
            </w:pPr>
            <w:r>
              <w:rPr>
                <w:color w:val="000000"/>
                <w:sz w:val="24"/>
                <w:u w:val="single"/>
              </w:rPr>
              <w:t>To Beneficiary</w:t>
            </w:r>
            <w:r>
              <w:rPr>
                <w:color w:val="000000"/>
                <w:sz w:val="24"/>
              </w:rPr>
              <w:t>:</w:t>
            </w:r>
          </w:p>
        </w:tc>
        <w:tc>
          <w:tcPr>
            <w:tcW w:w="3420" w:type="dxa"/>
            <w:tcBorders/>
          </w:tcPr>
          <w:p>
            <w:pPr>
              <w:pStyle w:val="Normal"/>
              <w:keepNext w:val="true"/>
              <w:keepLines/>
              <w:tabs>
                <w:tab w:val="clear" w:pos="720"/>
                <w:tab w:val="left" w:pos="1440" w:leader="none"/>
                <w:tab w:val="left" w:pos="3132" w:leader="none"/>
              </w:tabs>
              <w:snapToGrid w:val="false"/>
              <w:ind w:hanging="18" w:end="0"/>
              <w:jc w:val="both"/>
              <w:rPr>
                <w:color w:val="000000"/>
                <w:sz w:val="24"/>
              </w:rPr>
            </w:pPr>
            <w:r>
              <w:rPr>
                <w:color w:val="000000"/>
                <w:sz w:val="24"/>
              </w:rPr>
            </w:r>
          </w:p>
          <w:p>
            <w:pPr>
              <w:pStyle w:val="Normal"/>
              <w:keepNext w:val="true"/>
              <w:keepLines/>
              <w:tabs>
                <w:tab w:val="clear" w:pos="720"/>
                <w:tab w:val="left" w:pos="1440" w:leader="none"/>
                <w:tab w:val="left" w:pos="3132" w:leader="none"/>
              </w:tabs>
              <w:ind w:hanging="18" w:end="0"/>
              <w:jc w:val="both"/>
              <w:rPr>
                <w:color w:val="000000"/>
                <w:sz w:val="24"/>
              </w:rPr>
            </w:pPr>
            <w:r>
              <w:rPr>
                <w:color w:val="000000"/>
                <w:sz w:val="24"/>
              </w:rPr>
              <w:t>Pronghorn I LLC</w:t>
            </w:r>
          </w:p>
        </w:tc>
        <w:tc>
          <w:tcPr>
            <w:tcW w:w="1710" w:type="dxa"/>
            <w:tcBorders/>
          </w:tcPr>
          <w:p>
            <w:pPr>
              <w:pStyle w:val="Normal"/>
              <w:keepNext w:val="true"/>
              <w:keepLines/>
              <w:tabs>
                <w:tab w:val="clear" w:pos="720"/>
                <w:tab w:val="left" w:pos="1440" w:leader="none"/>
              </w:tabs>
              <w:snapToGrid w:val="false"/>
              <w:jc w:val="both"/>
              <w:rPr>
                <w:color w:val="000000"/>
                <w:sz w:val="24"/>
                <w:u w:val="single"/>
              </w:rPr>
            </w:pPr>
            <w:r>
              <w:rPr>
                <w:color w:val="000000"/>
                <w:sz w:val="24"/>
                <w:u w:val="single"/>
              </w:rPr>
            </w:r>
          </w:p>
          <w:p>
            <w:pPr>
              <w:pStyle w:val="Normal"/>
              <w:keepNext w:val="true"/>
              <w:keepLines/>
              <w:tabs>
                <w:tab w:val="clear" w:pos="720"/>
                <w:tab w:val="left" w:pos="1440" w:leader="none"/>
              </w:tabs>
              <w:jc w:val="both"/>
              <w:rPr/>
            </w:pPr>
            <w:r>
              <w:rPr>
                <w:color w:val="000000"/>
                <w:sz w:val="24"/>
                <w:u w:val="single"/>
              </w:rPr>
              <w:t>To Guarantor</w:t>
            </w:r>
            <w:r>
              <w:rPr>
                <w:color w:val="000000"/>
                <w:sz w:val="24"/>
              </w:rPr>
              <w:t>:</w:t>
            </w:r>
          </w:p>
        </w:tc>
        <w:tc>
          <w:tcPr>
            <w:tcW w:w="3330" w:type="dxa"/>
            <w:tcBorders/>
          </w:tcPr>
          <w:p>
            <w:pPr>
              <w:pStyle w:val="Normal"/>
              <w:keepNext w:val="true"/>
              <w:keepLines/>
              <w:tabs>
                <w:tab w:val="clear" w:pos="720"/>
                <w:tab w:val="left" w:pos="1440" w:leader="none"/>
                <w:tab w:val="right" w:pos="2988" w:leader="none"/>
              </w:tabs>
              <w:snapToGrid w:val="false"/>
              <w:jc w:val="both"/>
              <w:rPr>
                <w:color w:val="000000"/>
                <w:sz w:val="24"/>
              </w:rPr>
            </w:pPr>
            <w:r>
              <w:rPr>
                <w:color w:val="000000"/>
                <w:sz w:val="24"/>
              </w:rPr>
            </w:r>
          </w:p>
          <w:p>
            <w:pPr>
              <w:pStyle w:val="Normal"/>
              <w:keepNext w:val="true"/>
              <w:keepLines/>
              <w:tabs>
                <w:tab w:val="clear" w:pos="720"/>
                <w:tab w:val="left" w:pos="1440" w:leader="none"/>
                <w:tab w:val="right" w:pos="2988" w:leader="none"/>
              </w:tabs>
              <w:jc w:val="both"/>
              <w:rPr>
                <w:color w:val="000000"/>
                <w:sz w:val="24"/>
              </w:rPr>
            </w:pPr>
            <w:r>
              <w:rPr>
                <w:color w:val="000000"/>
                <w:sz w:val="24"/>
              </w:rPr>
              <w:t>Bobcat I LLC</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rPr>
                <w:color w:val="000000"/>
                <w:sz w:val="24"/>
              </w:rPr>
            </w:pPr>
            <w:r>
              <w:rPr>
                <w:color w:val="000000"/>
                <w:sz w:val="24"/>
              </w:rPr>
              <w:t>c/o Enron Energy Services, LLC</w:t>
            </w:r>
          </w:p>
          <w:p>
            <w:pPr>
              <w:pStyle w:val="Normal"/>
              <w:keepNext w:val="true"/>
              <w:keepLines/>
              <w:tabs>
                <w:tab w:val="clear" w:pos="720"/>
                <w:tab w:val="left" w:pos="1440" w:leader="none"/>
                <w:tab w:val="left" w:pos="3132" w:leader="none"/>
              </w:tabs>
              <w:jc w:val="both"/>
              <w:rPr>
                <w:color w:val="000000"/>
                <w:sz w:val="24"/>
              </w:rPr>
            </w:pPr>
            <w:r>
              <w:rPr>
                <w:color w:val="000000"/>
                <w:sz w:val="24"/>
              </w:rPr>
              <w:t>1400 Smith Street</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c/o LJM Investments</w:t>
            </w:r>
          </w:p>
          <w:p>
            <w:pPr>
              <w:pStyle w:val="Normal"/>
              <w:keepNext w:val="true"/>
              <w:keepLines/>
              <w:tabs>
                <w:tab w:val="clear" w:pos="720"/>
                <w:tab w:val="left" w:pos="1440" w:leader="none"/>
                <w:tab w:val="left" w:pos="3132" w:leader="none"/>
              </w:tabs>
              <w:jc w:val="both"/>
              <w:rPr>
                <w:color w:val="000000"/>
                <w:sz w:val="24"/>
              </w:rPr>
            </w:pPr>
            <w:r>
              <w:rPr>
                <w:color w:val="000000"/>
                <w:sz w:val="24"/>
              </w:rPr>
              <w:t>333 Clay Street, Suite 1203</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Houston, Texas 77002</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Houston, Texas 77002</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Attn.: General Counsel</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right" w:pos="2988" w:leader="none"/>
              </w:tabs>
              <w:jc w:val="both"/>
              <w:rPr>
                <w:color w:val="000000"/>
                <w:sz w:val="24"/>
              </w:rPr>
            </w:pPr>
            <w:r>
              <w:rPr>
                <w:color w:val="000000"/>
                <w:sz w:val="24"/>
              </w:rPr>
              <w:t>Attn.:  General Partner</w:t>
            </w:r>
          </w:p>
        </w:tc>
      </w:tr>
      <w:tr>
        <w:trPr/>
        <w:tc>
          <w:tcPr>
            <w:tcW w:w="1818"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420" w:type="dxa"/>
            <w:tcBorders/>
          </w:tcPr>
          <w:p>
            <w:pPr>
              <w:pStyle w:val="Normal"/>
              <w:keepNext w:val="true"/>
              <w:keepLines/>
              <w:tabs>
                <w:tab w:val="clear" w:pos="720"/>
                <w:tab w:val="left" w:pos="1440" w:leader="none"/>
                <w:tab w:val="left" w:pos="3132" w:leader="none"/>
              </w:tabs>
              <w:jc w:val="both"/>
              <w:rPr>
                <w:color w:val="000000"/>
                <w:sz w:val="24"/>
              </w:rPr>
            </w:pPr>
            <w:r>
              <w:rPr>
                <w:color w:val="000000"/>
                <w:sz w:val="24"/>
              </w:rPr>
              <w:t>Fax No.:  (713) 646-2379</w:t>
            </w:r>
          </w:p>
        </w:tc>
        <w:tc>
          <w:tcPr>
            <w:tcW w:w="1710" w:type="dxa"/>
            <w:tcBorders/>
          </w:tcPr>
          <w:p>
            <w:pPr>
              <w:pStyle w:val="Normal"/>
              <w:keepNext w:val="true"/>
              <w:keepLines/>
              <w:tabs>
                <w:tab w:val="clear" w:pos="720"/>
                <w:tab w:val="left" w:pos="1440" w:leader="none"/>
              </w:tabs>
              <w:snapToGrid w:val="false"/>
              <w:ind w:firstLine="634" w:end="0"/>
              <w:jc w:val="both"/>
              <w:rPr>
                <w:color w:val="000000"/>
                <w:sz w:val="24"/>
              </w:rPr>
            </w:pPr>
            <w:r>
              <w:rPr>
                <w:color w:val="000000"/>
                <w:sz w:val="24"/>
              </w:rPr>
            </w:r>
          </w:p>
        </w:tc>
        <w:tc>
          <w:tcPr>
            <w:tcW w:w="3330" w:type="dxa"/>
            <w:tcBorders/>
          </w:tcPr>
          <w:p>
            <w:pPr>
              <w:pStyle w:val="Normal"/>
              <w:keepNext w:val="true"/>
              <w:keepLines/>
              <w:tabs>
                <w:tab w:val="clear" w:pos="720"/>
                <w:tab w:val="left" w:pos="1440" w:leader="none"/>
                <w:tab w:val="right" w:pos="2988" w:leader="none"/>
              </w:tabs>
              <w:jc w:val="both"/>
              <w:rPr>
                <w:color w:val="000000"/>
                <w:sz w:val="24"/>
              </w:rPr>
            </w:pPr>
            <w:r>
              <w:rPr>
                <w:color w:val="000000"/>
                <w:sz w:val="24"/>
              </w:rPr>
              <w:t>Fax No.:  (713) 646-8656</w:t>
            </w:r>
          </w:p>
        </w:tc>
      </w:tr>
    </w:tbl>
    <w:p>
      <w:pPr>
        <w:pStyle w:val="Normal"/>
        <w:tabs>
          <w:tab w:val="clear" w:pos="720"/>
          <w:tab w:val="left" w:pos="1440" w:leader="none"/>
          <w:tab w:val="left" w:pos="2880" w:leader="none"/>
          <w:tab w:val="left" w:pos="6480" w:leader="none"/>
        </w:tabs>
        <w:ind w:firstLine="634" w:end="0"/>
        <w:jc w:val="both"/>
        <w:rPr>
          <w:sz w:val="24"/>
        </w:rPr>
      </w:pPr>
      <w:r>
        <w:rPr>
          <w:sz w:val="24"/>
        </w:rPr>
      </w:r>
    </w:p>
    <w:p>
      <w:pPr>
        <w:pStyle w:val="Normal"/>
        <w:keepNext w:val="true"/>
        <w:keepLines/>
        <w:numPr>
          <w:ilvl w:val="0"/>
          <w:numId w:val="0"/>
        </w:numPr>
        <w:tabs>
          <w:tab w:val="clear" w:pos="720"/>
          <w:tab w:val="left" w:pos="1440" w:leader="none"/>
          <w:tab w:val="left" w:pos="2880" w:leader="none"/>
          <w:tab w:val="left" w:pos="6480" w:leader="none"/>
        </w:tabs>
        <w:ind w:start="6930" w:end="0"/>
        <w:jc w:val="both"/>
        <w:outlineLvl w:val="0"/>
        <w:rPr/>
      </w:pPr>
      <w:r>
        <w:rPr>
          <w:sz w:val="24"/>
          <w:u w:val="single"/>
        </w:rPr>
        <w:t>With a copy to</w:t>
      </w:r>
      <w:r>
        <w:rPr>
          <w:sz w:val="24"/>
        </w:rPr>
        <w:t>:</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BSCS XXIII, Inc.</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c/o Lord Securities Corporation</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1201 North Orange Street, Suite 800</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Wilmington, DE 19801-1186</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Attention: Dwight Jenkins</w:t>
      </w:r>
    </w:p>
    <w:p>
      <w:pPr>
        <w:pStyle w:val="Normal"/>
        <w:keepNext w:val="true"/>
        <w:keepLines/>
        <w:tabs>
          <w:tab w:val="clear" w:pos="720"/>
          <w:tab w:val="left" w:pos="1440" w:leader="none"/>
          <w:tab w:val="left" w:pos="2880" w:leader="none"/>
          <w:tab w:val="left" w:pos="6480" w:leader="none"/>
        </w:tabs>
        <w:ind w:start="6930" w:end="0"/>
        <w:jc w:val="both"/>
        <w:rPr>
          <w:sz w:val="24"/>
        </w:rPr>
      </w:pPr>
      <w:r>
        <w:rPr>
          <w:sz w:val="24"/>
        </w:rPr>
        <w:t>Fax No.:  (302) 573-2507</w:t>
      </w:r>
    </w:p>
    <w:p>
      <w:pPr>
        <w:pStyle w:val="Normal"/>
        <w:tabs>
          <w:tab w:val="clear" w:pos="720"/>
          <w:tab w:val="left" w:pos="1440" w:leader="none"/>
          <w:tab w:val="left" w:pos="2880" w:leader="none"/>
          <w:tab w:val="left" w:pos="6480" w:leader="none"/>
        </w:tabs>
        <w:ind w:firstLine="634" w:end="0"/>
        <w:jc w:val="both"/>
        <w:rPr>
          <w:sz w:val="24"/>
        </w:rPr>
      </w:pPr>
      <w:r>
        <w:rPr>
          <w:sz w:val="24"/>
        </w:rPr>
      </w:r>
    </w:p>
    <w:p>
      <w:pPr>
        <w:pStyle w:val="Normal"/>
        <w:tabs>
          <w:tab w:val="clear" w:pos="720"/>
          <w:tab w:val="left" w:pos="2880" w:leader="none"/>
          <w:tab w:val="left" w:pos="6480" w:leader="none"/>
        </w:tabs>
        <w:spacing w:lineRule="exact" w:line="240"/>
        <w:ind w:start="720" w:end="0"/>
        <w:jc w:val="both"/>
        <w:rPr>
          <w:sz w:val="24"/>
        </w:rPr>
      </w:pPr>
      <w:r>
        <w:rPr>
          <w:sz w:val="24"/>
        </w:rPr>
      </w:r>
    </w:p>
    <w:p>
      <w:pPr>
        <w:pStyle w:val="Normal"/>
        <w:spacing w:lineRule="atLeast" w:line="240"/>
        <w:jc w:val="both"/>
        <w:rPr>
          <w:sz w:val="24"/>
        </w:rPr>
      </w:pPr>
      <w:r>
        <w:rPr>
          <w:sz w:val="24"/>
        </w:rPr>
        <w:t>A copy of any notice sent to Beneficiary pursuant hereto must also be sent to the above address to:  Enron Corp., (a) Attention: Corporate Secretary, Fax No. (713) 853-2534, (b) Attention: Vice President and General Counsel, Enron Global Finance, Fax No. (713) 853-9252, and (c) Attention: Ben Glisan, Fax No. (713) 646-4990.</w:t>
      </w:r>
    </w:p>
    <w:p>
      <w:pPr>
        <w:pStyle w:val="Normal"/>
        <w:spacing w:lineRule="atLeast" w:line="240"/>
        <w:jc w:val="both"/>
        <w:rPr>
          <w:sz w:val="24"/>
        </w:rPr>
      </w:pPr>
      <w:r>
        <w:rPr>
          <w:sz w:val="24"/>
        </w:rPr>
      </w:r>
    </w:p>
    <w:p>
      <w:pPr>
        <w:pStyle w:val="Normal"/>
        <w:spacing w:lineRule="atLeast" w:line="240"/>
        <w:ind w:firstLine="720" w:end="0"/>
        <w:jc w:val="both"/>
        <w:rPr>
          <w:sz w:val="24"/>
        </w:rPr>
      </w:pPr>
      <w:r>
        <w:rPr>
          <w:sz w:val="24"/>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4"/>
        </w:rPr>
      </w:pPr>
      <w:r>
        <w:rPr>
          <w:sz w:val="24"/>
        </w:rPr>
      </w:r>
    </w:p>
    <w:p>
      <w:pPr>
        <w:pStyle w:val="Normal"/>
        <w:jc w:val="both"/>
        <w:rPr/>
      </w:pPr>
      <w:r>
        <w:rPr>
          <w:sz w:val="24"/>
        </w:rPr>
        <w:tab/>
        <w:t>10.</w:t>
        <w:tab/>
      </w:r>
      <w:r>
        <w:rPr>
          <w:b/>
          <w:sz w:val="24"/>
          <w:u w:val="single"/>
        </w:rPr>
        <w:t>ARBITRATION</w:t>
      </w:r>
      <w:r>
        <w:rPr>
          <w:sz w:val="24"/>
        </w:rPr>
        <w:t xml:space="preserve">.  </w:t>
      </w:r>
    </w:p>
    <w:p>
      <w:pPr>
        <w:pStyle w:val="Normal"/>
        <w:jc w:val="both"/>
        <w:rPr>
          <w:sz w:val="24"/>
        </w:rPr>
      </w:pPr>
      <w:r>
        <w:rPr>
          <w:sz w:val="24"/>
        </w:rPr>
      </w:r>
    </w:p>
    <w:p>
      <w:pPr>
        <w:pStyle w:val="Normal"/>
        <w:jc w:val="both"/>
        <w:rPr/>
      </w:pPr>
      <w:r>
        <w:rPr>
          <w:sz w:val="24"/>
        </w:rPr>
        <w:tab/>
        <w:tab/>
        <w:t>(a)</w:t>
        <w:tab/>
        <w:t>Any claim, counterclaim, demand, cause of action, dispute, and controversy arising out of or relating to this Guaranty or the relationship established by this Guaranty, any provision hereof, the alleged breach hereof, or in any way relating to the subject matter of this Guaranty,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4"/>
        </w:rPr>
      </w:pPr>
      <w:r>
        <w:rPr>
          <w:sz w:val="24"/>
        </w:rPr>
      </w:r>
    </w:p>
    <w:p>
      <w:pPr>
        <w:pStyle w:val="Normal"/>
        <w:jc w:val="both"/>
        <w:rPr/>
      </w:pPr>
      <w:r>
        <w:rPr>
          <w:b/>
          <w:sz w:val="24"/>
        </w:rPr>
        <w:tab/>
        <w:tab/>
      </w:r>
      <w:r>
        <w:rPr>
          <w:sz w:val="24"/>
        </w:rPr>
        <w:t>(b)</w:t>
        <w:tab/>
        <w:t>Any arbitration hereunder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4"/>
        </w:rPr>
      </w:pPr>
      <w:r>
        <w:rPr>
          <w:sz w:val="24"/>
        </w:rPr>
      </w:r>
    </w:p>
    <w:p>
      <w:pPr>
        <w:pStyle w:val="Normal"/>
        <w:jc w:val="both"/>
        <w:rPr/>
      </w:pPr>
      <w:r>
        <w:rPr>
          <w:b/>
          <w:sz w:val="24"/>
        </w:rPr>
        <w:tab/>
        <w:tab/>
      </w:r>
      <w:r>
        <w:rPr>
          <w:sz w:val="24"/>
        </w:rPr>
        <w:t>(c)</w:t>
        <w:tab/>
        <w:t>The arbitration proceeding shall be conducted in Houston, Texas.  Within thirty days of the notice of initiation of the arbitration procedure, Guarantor and Beneficiary each shall select one arbitrator.  The two arbitrators shall select a third arbitrator.  The third arbitrator shall be a person who has over eight years professional experience in over</w:t>
        <w:noBreakHyphen/>
        <w:t>the</w:t>
        <w:noBreakHyphen/>
        <w:t>counter derivative products and who has not previously been employed by Guarantor or Beneficiary and does not have a direct or indirect interest in Guarantor or Beneficiary or the subject matter of the arbitration.  While the third arbitrator shall be neutral, the two arbitrators appointed by Guarantor and Beneficiary are not required to be neutral, and it shall not be grounds for removal of either of such arbitrators or for vacating the arbitrators' award that either of such arbitrators has past or present minimal relationships with Guarantor or Beneficiary, as the case may be.</w:t>
      </w:r>
    </w:p>
    <w:p>
      <w:pPr>
        <w:pStyle w:val="Normal"/>
        <w:jc w:val="both"/>
        <w:rPr>
          <w:sz w:val="24"/>
        </w:rPr>
      </w:pPr>
      <w:r>
        <w:rPr>
          <w:sz w:val="24"/>
        </w:rPr>
      </w:r>
    </w:p>
    <w:p>
      <w:pPr>
        <w:pStyle w:val="Normal"/>
        <w:jc w:val="both"/>
        <w:rPr>
          <w:color w:val="FF0000"/>
          <w:sz w:val="24"/>
        </w:rPr>
      </w:pPr>
      <w:r>
        <w:rPr>
          <w:b/>
          <w:sz w:val="24"/>
        </w:rPr>
        <w:tab/>
        <w:tab/>
      </w:r>
      <w:r>
        <w:rPr>
          <w:sz w:val="24"/>
        </w:rPr>
        <w:t>(d)</w:t>
        <w:tab/>
        <w:t>To the fullest extent permitted by applicable law, any arbitration proceeding and the arbitrators award shall be maintained in confidence by the parties.</w:t>
      </w:r>
    </w:p>
    <w:p>
      <w:pPr>
        <w:pStyle w:val="Normal"/>
        <w:spacing w:lineRule="atLeast" w:line="240"/>
        <w:ind w:firstLine="720" w:end="0"/>
        <w:jc w:val="both"/>
        <w:rPr>
          <w:color w:val="FF0000"/>
          <w:sz w:val="24"/>
        </w:rPr>
      </w:pPr>
      <w:r>
        <w:rPr>
          <w:color w:val="FF0000"/>
          <w:sz w:val="24"/>
        </w:rPr>
      </w:r>
    </w:p>
    <w:p>
      <w:pPr>
        <w:pStyle w:val="Normal"/>
        <w:spacing w:lineRule="atLeast" w:line="240"/>
        <w:ind w:firstLine="720" w:end="0"/>
        <w:jc w:val="both"/>
        <w:rPr/>
      </w:pPr>
      <w:r>
        <w:rPr>
          <w:sz w:val="24"/>
        </w:rPr>
        <w:t xml:space="preserve">11. </w:t>
        <w:tab/>
      </w:r>
      <w:r>
        <w:rPr>
          <w:b/>
          <w:sz w:val="24"/>
          <w:u w:val="single"/>
        </w:rPr>
        <w:t>MISCELLANEOUS</w:t>
      </w:r>
      <w:r>
        <w:rPr>
          <w:sz w:val="24"/>
        </w:rPr>
        <w:t xml:space="preserve">.  </w:t>
      </w:r>
      <w:r>
        <w:rPr>
          <w:b/>
          <w:caps/>
          <w:sz w:val="24"/>
        </w:rPr>
        <w:t>This Guaranty shall in all respects be governed by, and construed in accordance with, the lawS of the State of NEW YORK.</w:t>
      </w:r>
      <w:r>
        <w:rPr>
          <w:sz w:val="24"/>
        </w:rPr>
        <w:t xml:space="preserve">  This Guaranty shall be binding upon Guarantor and its successors and shall inure to the benefit of and be enforceable by Beneficiary and its successors.  This Guaranty embodies the entire agreement and understanding between Guarantor and Beneficiary, and supersedes all prior agreements and understandings, relating to the subject matter hereof.  The headings in this Guaranty are for purposes of reference only, and shall not affect the meaning or interpretation hereof.</w:t>
      </w:r>
      <w:r>
        <w:br w:type="page"/>
      </w:r>
    </w:p>
    <w:p>
      <w:pPr>
        <w:pStyle w:val="Normal"/>
        <w:spacing w:lineRule="atLeast" w:line="240"/>
        <w:ind w:firstLine="720" w:end="0"/>
        <w:jc w:val="both"/>
        <w:rPr>
          <w:sz w:val="24"/>
        </w:rPr>
      </w:pPr>
      <w:r>
        <w:rPr>
          <w:sz w:val="24"/>
        </w:rPr>
        <w:t>IN WITNESS WHEREOF, Guarantor has executed this Guaranty on December __, 2000, but it is effective as of the date first above written.</w:t>
      </w:r>
    </w:p>
    <w:p>
      <w:pPr>
        <w:pStyle w:val="Normal"/>
        <w:spacing w:lineRule="atLeast" w:line="240"/>
        <w:ind w:firstLine="720" w:end="0"/>
        <w:jc w:val="both"/>
        <w:rPr>
          <w:sz w:val="24"/>
        </w:rPr>
      </w:pPr>
      <w:r>
        <w:rPr>
          <w:sz w:val="24"/>
        </w:rPr>
      </w:r>
    </w:p>
    <w:p>
      <w:pPr>
        <w:pStyle w:val="Normal"/>
        <w:spacing w:lineRule="atLeast" w:line="240"/>
        <w:ind w:start="5040" w:end="0"/>
        <w:jc w:val="both"/>
        <w:rPr>
          <w:b/>
          <w:sz w:val="24"/>
        </w:rPr>
      </w:pPr>
      <w:r>
        <w:rPr>
          <w:b/>
          <w:sz w:val="24"/>
        </w:rPr>
        <w:t>BOBCAT I LLC</w:t>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By:  BSCS XXIII, Inc., its manager</w:t>
      </w:r>
    </w:p>
    <w:p>
      <w:pPr>
        <w:pStyle w:val="Normal"/>
        <w:spacing w:lineRule="atLeast" w:line="240"/>
        <w:ind w:start="5040" w:end="0"/>
        <w:jc w:val="both"/>
        <w:rPr>
          <w:b/>
          <w:sz w:val="24"/>
        </w:rPr>
      </w:pPr>
      <w:r>
        <w:rPr>
          <w:b/>
          <w:sz w:val="24"/>
        </w:rPr>
      </w:r>
    </w:p>
    <w:p>
      <w:pPr>
        <w:pStyle w:val="Normal"/>
        <w:spacing w:lineRule="atLeast" w:line="240"/>
        <w:ind w:start="5040" w:end="0"/>
        <w:jc w:val="both"/>
        <w:rPr>
          <w:b/>
          <w:sz w:val="24"/>
        </w:rPr>
      </w:pPr>
      <w:r>
        <w:rPr>
          <w:b/>
          <w:sz w:val="24"/>
        </w:rPr>
      </w:r>
    </w:p>
    <w:p>
      <w:pPr>
        <w:pStyle w:val="Normal"/>
        <w:spacing w:lineRule="atLeast" w:line="240"/>
        <w:ind w:start="5040" w:end="0"/>
        <w:jc w:val="both"/>
        <w:rPr>
          <w:sz w:val="24"/>
        </w:rPr>
      </w:pPr>
      <w:r>
        <w:rPr>
          <w:sz w:val="24"/>
        </w:rPr>
        <w:t xml:space="preserve">By:  </w:t>
        <w:tab/>
      </w:r>
      <w:r>
        <w:rPr>
          <w:sz w:val="24"/>
          <w:u w:val="single"/>
        </w:rPr>
        <w:tab/>
        <w:tab/>
        <w:tab/>
        <w:tab/>
        <w:tab/>
        <w:tab/>
      </w:r>
    </w:p>
    <w:p>
      <w:pPr>
        <w:pStyle w:val="Normal"/>
        <w:spacing w:lineRule="atLeast" w:line="240"/>
        <w:ind w:start="5040" w:end="0"/>
        <w:jc w:val="both"/>
        <w:rPr>
          <w:sz w:val="24"/>
        </w:rPr>
      </w:pPr>
      <w:r>
        <w:rPr>
          <w:sz w:val="24"/>
        </w:rPr>
        <w:t>Name:</w:t>
        <w:tab/>
      </w:r>
    </w:p>
    <w:p>
      <w:pPr>
        <w:pStyle w:val="Normal"/>
        <w:spacing w:lineRule="atLeast" w:line="240"/>
        <w:ind w:start="5040" w:end="0"/>
        <w:jc w:val="both"/>
        <w:rPr>
          <w:sz w:val="24"/>
        </w:rPr>
      </w:pPr>
      <w:r>
        <w:rPr>
          <w:sz w:val="24"/>
        </w:rPr>
        <w:t>Title:</w:t>
        <w:tab/>
      </w:r>
    </w:p>
    <w:p>
      <w:pPr>
        <w:pStyle w:val="Normal"/>
        <w:jc w:val="both"/>
        <w:rPr>
          <w:sz w:val="24"/>
        </w:rPr>
      </w:pPr>
      <w:r>
        <w:rPr>
          <w:sz w:val="24"/>
        </w:rPr>
      </w:r>
    </w:p>
    <w:p>
      <w:pPr>
        <w:pStyle w:val="Normal"/>
        <w:rPr>
          <w:sz w:val="24"/>
        </w:rPr>
      </w:pPr>
      <w:r>
        <w:rPr>
          <w:sz w:val="24"/>
        </w:rPr>
      </w:r>
    </w:p>
    <w:sectPr>
      <w:headerReference w:type="default" r:id="rId2"/>
      <w:footerReference w:type="default" r:id="rId3"/>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widowControl/>
      <w:tabs>
        <w:tab w:val="clear" w:pos="4320"/>
        <w:tab w:val="right" w:pos="8640" w:leader="none"/>
      </w:tabs>
      <w:ind w:end="360"/>
      <w:rPr>
        <w:sz w:val="16"/>
      </w:rPr>
    </w:pPr>
    <w:r>
      <w:rPr>
        <w:sz w:val="16"/>
      </w:rPr>
      <w:fldChar w:fldCharType="begin"/>
    </w:r>
    <w:r>
      <w:rPr>
        <w:sz w:val="16"/>
      </w:rPr>
      <w:instrText xml:space="preserve"> FILENAME </w:instrText>
    </w:r>
    <w:r>
      <w:rPr>
        <w:sz w:val="16"/>
      </w:rPr>
      <w:fldChar w:fldCharType="separate"/>
    </w:r>
    <w:r>
      <w:rPr>
        <w:sz w:val="16"/>
      </w:rPr>
      <w:t>Bobcat__IV__ifo_Pronghorn__III__Cross_Guarantee2.DOC</w:t>
    </w:r>
    <w:r>
      <w:rPr>
        <w:sz w:val="16"/>
      </w:rPr>
      <w:fldChar w:fldCharType="end"/>
    </w:r>
  </w:p>
  <w:p>
    <w:pPr>
      <w:pStyle w:val="Footer"/>
      <w:widowControl/>
      <w:tabs>
        <w:tab w:val="clear" w:pos="4320"/>
        <w:tab w:val="right" w:pos="8640" w:leader="none"/>
      </w:tabs>
      <w:ind w:end="360"/>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Should any demand in respect of the term note have priority over any demand under the Pronghorn/Porcupine ISDA Master and the revolving note?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1800"/>
        </w:tabs>
        <w:ind w:start="1800" w:hanging="360"/>
      </w:pPr>
      <w:rPr/>
    </w:lvl>
  </w:abstractNum>
  <w:abstractNum w:abstractNumId="2">
    <w:lvl w:ilvl="0">
      <w:start w:val="3"/>
      <w:numFmt w:val="upperLetter"/>
      <w:lvlText w:val="%1."/>
      <w:lvlJc w:val="start"/>
      <w:pPr>
        <w:tabs>
          <w:tab w:val="num" w:pos="1440"/>
        </w:tabs>
        <w:ind w:start="1440" w:hanging="720"/>
      </w:pPr>
      <w:r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decimal"/>
      <w:lvlText w:val="%1."/>
      <w:lvlJc w:val="start"/>
      <w:pPr>
        <w:tabs>
          <w:tab w:val="num" w:pos="1440"/>
        </w:tabs>
        <w:ind w:start="1440" w:hanging="72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2000-12-18T20:21:00Z</dcterms:created>
  <dc:creator>Debbie Ramirez</dc:creator>
  <dc:description/>
  <dc:language>en-CA</dc:language>
  <cp:lastModifiedBy>VE</cp:lastModifiedBy>
  <cp:lastPrinted>2000-12-18T15:20:00Z</cp:lastPrinted>
  <dcterms:modified xsi:type="dcterms:W3CDTF">2000-12-18T20:21:00Z</dcterms:modified>
  <cp:revision>2</cp:revision>
  <dc:subject/>
  <dc:title>ENRON CORP</dc:title>
</cp:coreProperties>
</file>