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color w:val="000000"/>
        </w:rPr>
      </w:pPr>
      <w:r>
        <w:rPr>
          <w:color w:val="000000"/>
        </w:rPr>
        <w:t>AGENDA ITEM ___</w:t>
      </w:r>
    </w:p>
    <w:p>
      <w:pPr>
        <w:pStyle w:val="Normal"/>
        <w:jc w:val="center"/>
        <w:rPr>
          <w:color w:val="000000"/>
        </w:rPr>
      </w:pPr>
      <w:r>
        <w:rPr>
          <w:color w:val="000000"/>
        </w:rPr>
        <w:t>(SUGGESTED FORM OF RESOLUTIONS)</w:t>
      </w:r>
    </w:p>
    <w:p>
      <w:pPr>
        <w:pStyle w:val="Normal"/>
        <w:jc w:val="both"/>
        <w:rPr>
          <w:color w:val="000000"/>
        </w:rPr>
      </w:pPr>
      <w:r>
        <w:rPr>
          <w:color w:val="000000"/>
        </w:rPr>
      </w:r>
    </w:p>
    <w:p>
      <w:pPr>
        <w:pStyle w:val="Normal"/>
        <w:jc w:val="both"/>
        <w:rPr>
          <w:color w:val="000000"/>
        </w:rPr>
      </w:pPr>
      <w:r>
        <w:rPr>
          <w:color w:val="000000"/>
        </w:rPr>
      </w:r>
    </w:p>
    <w:p>
      <w:pPr>
        <w:pStyle w:val="Normal"/>
        <w:ind w:start="720" w:end="720"/>
        <w:jc w:val="both"/>
        <w:rPr>
          <w:color w:val="000000"/>
        </w:rPr>
      </w:pPr>
      <w:r>
        <w:rPr>
          <w:color w:val="000000"/>
        </w:rPr>
        <w:tab/>
        <w:t xml:space="preserve">WHEREAS, the Company owns, directly or indirectly, 100% of the membership interests in and to TLS Investors, L.L.C. (“TLS”); and </w:t>
      </w:r>
    </w:p>
    <w:p>
      <w:pPr>
        <w:pStyle w:val="Normal"/>
        <w:ind w:start="720" w:end="720"/>
        <w:jc w:val="both"/>
        <w:rPr>
          <w:color w:val="000000"/>
        </w:rPr>
      </w:pPr>
      <w:r>
        <w:rPr>
          <w:color w:val="000000"/>
        </w:rPr>
      </w:r>
    </w:p>
    <w:p>
      <w:pPr>
        <w:pStyle w:val="Normal"/>
        <w:ind w:firstLine="720" w:start="720" w:end="720"/>
        <w:jc w:val="both"/>
        <w:rPr>
          <w:color w:val="000000"/>
        </w:rPr>
      </w:pPr>
      <w:r>
        <w:rPr>
          <w:color w:val="000000"/>
        </w:rPr>
        <w:t xml:space="preserve">WHEREAS, TLS owns a significant portion of the membership interests in, and is the managing member of, Southwest Power, L.L.C. (“Southwest”); and </w:t>
      </w:r>
    </w:p>
    <w:p>
      <w:pPr>
        <w:pStyle w:val="Normal"/>
        <w:ind w:firstLine="720" w:start="720" w:end="720"/>
        <w:jc w:val="both"/>
        <w:rPr>
          <w:color w:val="000000"/>
        </w:rPr>
      </w:pPr>
      <w:r>
        <w:rPr>
          <w:color w:val="000000"/>
        </w:rPr>
      </w:r>
    </w:p>
    <w:p>
      <w:pPr>
        <w:pStyle w:val="Normal"/>
        <w:ind w:firstLine="720" w:start="720" w:end="720"/>
        <w:jc w:val="both"/>
        <w:rPr>
          <w:color w:val="000000"/>
        </w:rPr>
      </w:pPr>
      <w:r>
        <w:rPr>
          <w:color w:val="000000"/>
        </w:rPr>
        <w:t xml:space="preserve">WHEREAS, Southwest owns, directly or indirectly, 100% of the ownership interests in and to both Las Vegas Cogeneration Limited Partnership (“LVC I”) and Las Vegas Cogeneration II, L.L.C. (“LVC II”); and </w:t>
      </w:r>
    </w:p>
    <w:p>
      <w:pPr>
        <w:pStyle w:val="Normal"/>
        <w:ind w:firstLine="720" w:start="720" w:end="720"/>
        <w:jc w:val="both"/>
        <w:rPr>
          <w:color w:val="000000"/>
        </w:rPr>
      </w:pPr>
      <w:r>
        <w:rPr>
          <w:color w:val="000000"/>
        </w:rPr>
      </w:r>
    </w:p>
    <w:p>
      <w:pPr>
        <w:pStyle w:val="Normal"/>
        <w:ind w:firstLine="720" w:start="720" w:end="720"/>
        <w:jc w:val="both"/>
        <w:rPr>
          <w:color w:val="000000"/>
        </w:rPr>
      </w:pPr>
      <w:r>
        <w:rPr>
          <w:color w:val="000000"/>
        </w:rPr>
        <w:t xml:space="preserve">WHEREAS, LVC I owns and operates an existing generation facility of approximately 52 MW nominal output as a Qualified Facility (the “LVC I Facility”) subject to a power purchase agreement with Nevada Power Company; and </w:t>
      </w:r>
    </w:p>
    <w:p>
      <w:pPr>
        <w:pStyle w:val="Normal"/>
        <w:ind w:firstLine="720" w:start="720" w:end="720"/>
        <w:jc w:val="both"/>
        <w:rPr>
          <w:color w:val="000000"/>
        </w:rPr>
      </w:pPr>
      <w:r>
        <w:rPr>
          <w:color w:val="000000"/>
        </w:rPr>
      </w:r>
    </w:p>
    <w:p>
      <w:pPr>
        <w:pStyle w:val="Normal"/>
        <w:ind w:firstLine="720" w:start="720" w:end="720"/>
        <w:jc w:val="both"/>
        <w:rPr>
          <w:color w:val="000000"/>
        </w:rPr>
      </w:pPr>
      <w:r>
        <w:rPr>
          <w:color w:val="000000"/>
        </w:rPr>
        <w:t>WHEREAS, LVC II is developing a new power generation facility of approximately 222 MW nominal output (the “LVC II Facility”) on land to be leased from LVC I immediately adjacent to the existing LVC I facility; and</w:t>
      </w:r>
    </w:p>
    <w:p>
      <w:pPr>
        <w:pStyle w:val="Normal"/>
        <w:ind w:firstLine="720" w:start="720" w:end="720"/>
        <w:jc w:val="both"/>
        <w:rPr>
          <w:color w:val="000000"/>
        </w:rPr>
      </w:pPr>
      <w:r>
        <w:rPr>
          <w:color w:val="000000"/>
        </w:rPr>
      </w:r>
    </w:p>
    <w:p>
      <w:pPr>
        <w:pStyle w:val="Normal"/>
        <w:ind w:firstLine="720" w:start="720" w:end="720"/>
        <w:jc w:val="both"/>
        <w:rPr>
          <w:color w:val="000000"/>
        </w:rPr>
      </w:pPr>
      <w:r>
        <w:rPr>
          <w:color w:val="000000"/>
        </w:rPr>
        <w:t xml:space="preserve">WHEREAS, in connection with the development of the LVC II Facility LVC II desires to enter into (a) an Engineering, Procurement and Construction Contract with Modern Continental South Inc. (the “EPC Contract”), (b) a Tolling Agreement Confirmation to an EEI Master Power Purchase and Sale Agreement with Allegheny Energy Supply Company LLC (the “Tolling Agreement”), (c) an Interconnection and Operation Agreement with Nevada Power Company (the “Interconnection Agreement”), (d) a Service Agreement for the Transportation of Customer-Secured Natural Gas and associated Operations Procedures Agreement with Southwest Gas Corporation, (e) a Bridge Loan Agreement with the Company and with Joint Energy Development Investments II Limited Partnership (the “Bridge Loan Agreement”), and (f) such other agreements as may be reasonably necessary for the successful development and operation of the LVC II Facility (including without limitation agreements with the City of North Las Vegas for the supply of process water and the discharge of wastewater, joint venture, shareholder and participation agreements with future project participants, operations and maintenance agreements, fuel supply, financing and loan agreements with various project lenders,) (collectively, the “Additional Agreements”) (the EPC Contract, Tolling Agreement, Interconnection Agreement, Service Agreement, Bridge Loan Agreement and Additional Agreements are collectively referred to as the “Project Agreements”); and </w:t>
      </w:r>
    </w:p>
    <w:p>
      <w:pPr>
        <w:pStyle w:val="Normal"/>
        <w:ind w:start="720" w:end="720"/>
        <w:jc w:val="both"/>
        <w:rPr>
          <w:color w:val="000000"/>
        </w:rPr>
      </w:pPr>
      <w:r>
        <w:rPr>
          <w:color w:val="000000"/>
        </w:rPr>
      </w:r>
    </w:p>
    <w:p>
      <w:pPr>
        <w:pStyle w:val="Normal"/>
        <w:ind w:firstLine="720" w:start="720" w:end="720"/>
        <w:jc w:val="both"/>
        <w:rPr/>
      </w:pPr>
      <w:r>
        <w:rPr>
          <w:color w:val="000000"/>
        </w:rPr>
        <w:t xml:space="preserve">WHEREAS, the Board of Directors of the Company deems it advisable and in the best interests of the Company that LVC II enter into the Project Agreements to move forward with the development of the LVC II Facility, the total cost of which is currently estimated to be </w:t>
      </w:r>
      <w:r>
        <w:rPr>
          <w:smallCaps/>
          <w:color w:val="000000"/>
        </w:rPr>
        <w:t xml:space="preserve">One Hundred Ninety Nine Million One Hundred Ten Thousand </w:t>
      </w:r>
      <w:r>
        <w:rPr>
          <w:color w:val="000000"/>
        </w:rPr>
        <w:t xml:space="preserve">dollars (US$199,110,000); and </w:t>
      </w:r>
    </w:p>
    <w:p>
      <w:pPr>
        <w:pStyle w:val="IndentLeftRight"/>
        <w:jc w:val="both"/>
        <w:rPr>
          <w:color w:val="000000"/>
        </w:rPr>
      </w:pPr>
      <w:r>
        <w:rPr>
          <w:color w:val="000000"/>
        </w:rPr>
      </w:r>
    </w:p>
    <w:p>
      <w:pPr>
        <w:pStyle w:val="IndentLeftRight"/>
        <w:ind w:firstLine="720" w:end="720"/>
        <w:jc w:val="both"/>
        <w:rPr>
          <w:color w:val="000000"/>
        </w:rPr>
      </w:pPr>
      <w:r>
        <w:rPr>
          <w:color w:val="000000"/>
        </w:rPr>
        <w:t>WHEREAS, the Board of Directors of the Company deems it advisable and in the best interests of the Company that approvals be granted, as set forth below, in connection with LVC II’s development of the Project;</w:t>
      </w:r>
    </w:p>
    <w:p>
      <w:pPr>
        <w:pStyle w:val="IndentLeftRight"/>
        <w:jc w:val="both"/>
        <w:rPr>
          <w:color w:val="000000"/>
        </w:rPr>
      </w:pPr>
      <w:r>
        <w:rPr>
          <w:color w:val="000000"/>
        </w:rPr>
      </w:r>
    </w:p>
    <w:p>
      <w:pPr>
        <w:pStyle w:val="IndentLeftRight"/>
        <w:ind w:firstLine="720" w:end="720"/>
        <w:jc w:val="both"/>
        <w:rPr>
          <w:color w:val="000000"/>
        </w:rPr>
      </w:pPr>
      <w:r>
        <w:rPr>
          <w:color w:val="000000"/>
        </w:rPr>
        <w:t>NOW, THEREFORE, IT IS RESOLVED, that the appropriate officers of the Company, Enron North America Corp. (“ENA”), and/or LVC II be, and hereby are, authorized to execute, deliver, and perform or cause to be executed, delivered and performed, the obligations of the Project Agreements;</w:t>
      </w:r>
    </w:p>
    <w:p>
      <w:pPr>
        <w:pStyle w:val="Normal"/>
        <w:ind w:end="720"/>
        <w:jc w:val="both"/>
        <w:rPr>
          <w:color w:val="000000"/>
        </w:rPr>
      </w:pPr>
      <w:r>
        <w:rPr>
          <w:color w:val="000000"/>
        </w:rPr>
      </w:r>
    </w:p>
    <w:p>
      <w:pPr>
        <w:pStyle w:val="Normal"/>
        <w:ind w:firstLine="720" w:start="720" w:end="720"/>
        <w:jc w:val="both"/>
        <w:rPr/>
      </w:pPr>
      <w:r>
        <w:rPr/>
        <w:t xml:space="preserve">RESOLVED FURTHER, that all actions heretofore taken by any officer or representative of the Company or its affiliates related to or in connection with the transactions contemplated by these resolutions be, and hereby are, adopted, ratified, confirmed, and approved in all respects; and </w:t>
      </w:r>
    </w:p>
    <w:p>
      <w:pPr>
        <w:pStyle w:val="Normal"/>
        <w:ind w:firstLine="720" w:start="720" w:end="720"/>
        <w:jc w:val="both"/>
        <w:rPr/>
      </w:pPr>
      <w:r>
        <w:rPr/>
      </w:r>
    </w:p>
    <w:p>
      <w:pPr>
        <w:pStyle w:val="Normal"/>
        <w:ind w:firstLine="720" w:start="720" w:end="749"/>
        <w:jc w:val="both"/>
        <w:rPr>
          <w:color w:val="000000"/>
        </w:rPr>
      </w:pPr>
      <w:r>
        <w:rPr>
          <w:color w:val="000000"/>
        </w:rPr>
        <w:t>RESOLVED FURTHER, that the officers, directors, and authorized legal representatives of the Company, ENA and LVC II be, and hereby are, authorized to execute and deliver such other certificates, powers of attorney, affidavits, agreements, assignments, documents, guarantees, and instruments as are required in connection with the Project;</w:t>
        <w:tab/>
      </w:r>
    </w:p>
    <w:p>
      <w:pPr>
        <w:pStyle w:val="BodyTextIndent"/>
        <w:ind w:firstLine="720" w:start="720" w:end="720"/>
        <w:rPr>
          <w:color w:val="000000"/>
          <w:sz w:val="26"/>
        </w:rPr>
      </w:pPr>
      <w:r>
        <w:rPr>
          <w:color w:val="000000"/>
          <w:sz w:val="26"/>
        </w:rPr>
      </w:r>
    </w:p>
    <w:p>
      <w:pPr>
        <w:pStyle w:val="BodyTextIndent"/>
        <w:ind w:firstLine="720" w:start="720" w:end="720"/>
        <w:rPr>
          <w:sz w:val="26"/>
        </w:rPr>
      </w:pPr>
      <w:r>
        <w:rPr>
          <w:sz w:val="26"/>
        </w:rPr>
        <w:t>RESOLVED FURTHER, that the Chairman of the Board, any Vice Chairman of the Board, the President or any Vice President (including any Executive Vice President, Senior Vice President, or Vice President), the Treasurer or any Deputy Treasurer of the Company and its counsel be, and each hereby is, authorized, empowered, and directed (and any one of them acting alone) to take or authorize to be taken any and all such further action, to amend, execute, and deliver all such further instruments and documents, for and in the name and on behalf of the Company or its affiliates, under their respective corporate seals or otherwise, and to pay or cause to be paid all such expenses as in their discretion appear to be necessary or desirable to carry into effect the purposes and intentions of this and each of the foregoing resolutions; and</w:t>
      </w:r>
    </w:p>
    <w:p>
      <w:pPr>
        <w:pStyle w:val="Normal"/>
        <w:ind w:end="749"/>
        <w:jc w:val="both"/>
        <w:rPr>
          <w:color w:val="000000"/>
          <w:sz w:val="26"/>
        </w:rPr>
      </w:pPr>
      <w:r>
        <w:rPr>
          <w:color w:val="000000"/>
          <w:sz w:val="26"/>
        </w:rPr>
      </w:r>
    </w:p>
    <w:p>
      <w:pPr>
        <w:pStyle w:val="Normal"/>
        <w:ind w:firstLine="720" w:start="720" w:end="749"/>
        <w:jc w:val="both"/>
        <w:rPr>
          <w:color w:val="000000"/>
          <w:sz w:val="18"/>
        </w:rPr>
      </w:pPr>
      <w:r>
        <w:rPr>
          <w:color w:val="000000"/>
        </w:rPr>
        <w:t>RESOLVED FURTHER, that on or before June 15, 2001, an appropriate officer of the Company or ENA shall certify to the Office of the Chairman of the Company the occurrence or non-occurrence of the Conditions, and if such certification specifies the non-occurrence of either or both of the Conditions, then, without further action of the Board or the Office of the Chairman such officer may rescind these resolutions, in which case they shall be deemed null and void and the approvals contained in these resolutions will no longer be effective.</w:t>
      </w:r>
    </w:p>
    <w:p>
      <w:pPr>
        <w:pStyle w:val="Normal"/>
        <w:ind w:firstLine="720" w:start="720" w:end="749"/>
        <w:jc w:val="both"/>
        <w:rPr>
          <w:color w:val="000000"/>
          <w:sz w:val="18"/>
        </w:rPr>
      </w:pPr>
      <w:r>
        <w:rPr>
          <w:color w:val="000000"/>
          <w:sz w:val="18"/>
        </w:rPr>
      </w:r>
    </w:p>
    <w:p>
      <w:pPr>
        <w:pStyle w:val="Normal"/>
        <w:ind w:firstLine="720" w:start="720" w:end="720"/>
        <w:jc w:val="both"/>
        <w:rPr/>
      </w:pPr>
      <w:r>
        <w:rPr/>
        <w:t>RESOLVED FURTHER, that Mark Frevert be, and hereby is, constituted under Section 3, Article IV of the Company’s Bylaws with full power and authority on behalf of the Board (except as otherwise contemplated by Section 6, Article IV of the Company’s Bylaws) to:</w:t>
      </w:r>
    </w:p>
    <w:p>
      <w:pPr>
        <w:pStyle w:val="Normal"/>
        <w:ind w:firstLine="720" w:start="720" w:end="720"/>
        <w:jc w:val="both"/>
        <w:rPr/>
      </w:pPr>
      <w:r>
        <w:rPr/>
      </w:r>
    </w:p>
    <w:p>
      <w:pPr>
        <w:pStyle w:val="BlockText"/>
        <w:tabs>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720" w:start="2160" w:end="1440"/>
        <w:rPr>
          <w:sz w:val="26"/>
        </w:rPr>
      </w:pPr>
      <w:r>
        <w:rPr>
          <w:sz w:val="26"/>
        </w:rPr>
        <w:t>(a)</w:t>
        <w:tab/>
        <w:t>Settle and approve the terms and authorize execution on behalf of the Company or its affiliates of such additional documents relating to the transaction undertaken or proposed to be undertaken by the foregoing resolutions as may be required or necessary in order to enable the Company and its affiliates to fulfill their respective obligations in connection with the foregoing resolutions;</w:t>
      </w:r>
    </w:p>
    <w:p>
      <w:pPr>
        <w:pStyle w:val="Normal"/>
        <w:ind w:firstLine="720" w:start="1440" w:end="720"/>
        <w:jc w:val="both"/>
        <w:rPr>
          <w:sz w:val="26"/>
        </w:rPr>
      </w:pPr>
      <w:r>
        <w:rPr>
          <w:sz w:val="26"/>
        </w:rPr>
      </w:r>
    </w:p>
    <w:p>
      <w:pPr>
        <w:pStyle w:val="BlockText"/>
        <w:tabs>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720" w:start="2160" w:end="1440"/>
        <w:rPr>
          <w:sz w:val="26"/>
        </w:rPr>
      </w:pPr>
      <w:r>
        <w:rPr>
          <w:sz w:val="26"/>
        </w:rPr>
        <w:t>(b)</w:t>
        <w:tab/>
        <w:t>Pay or authorize the payment of all fees, expenses, or charges incurred by or on behalf of the Company or its affiliates in connection with the transactions contemplated by the foregoing resolutions, including (but without limitation) the fees and expenses of the Company’s and its affiliates’ financial, legal, and professional advisers; and</w:t>
      </w:r>
    </w:p>
    <w:p>
      <w:pPr>
        <w:pStyle w:val="Normal"/>
        <w:ind w:firstLine="720" w:start="1440" w:end="720"/>
        <w:jc w:val="both"/>
        <w:rPr>
          <w:sz w:val="26"/>
        </w:rPr>
      </w:pPr>
      <w:r>
        <w:rPr>
          <w:sz w:val="26"/>
        </w:rPr>
      </w:r>
    </w:p>
    <w:p>
      <w:pPr>
        <w:pStyle w:val="BlockText"/>
        <w:tabs>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630" w:start="2070" w:end="1440"/>
        <w:rPr>
          <w:sz w:val="26"/>
        </w:rPr>
      </w:pPr>
      <w:r>
        <w:rPr>
          <w:sz w:val="26"/>
        </w:rPr>
        <w:t>(c)</w:t>
        <w:tab/>
        <w:t>Take any and all such further action as he shall deem necessary or desirable in connection with the transactions contemplated by the foregoing resolutions.</w:t>
      </w:r>
    </w:p>
    <w:p>
      <w:pPr>
        <w:pStyle w:val="Normal"/>
        <w:ind w:firstLine="720" w:start="720" w:end="749"/>
        <w:jc w:val="both"/>
        <w:rPr>
          <w:color w:val="000000"/>
          <w:sz w:val="26"/>
        </w:rPr>
      </w:pPr>
      <w:r>
        <w:rPr>
          <w:color w:val="000000"/>
          <w:sz w:val="26"/>
        </w:rPr>
      </w:r>
    </w:p>
    <w:p>
      <w:pPr>
        <w:pStyle w:val="Normal"/>
        <w:ind w:start="720" w:end="749"/>
        <w:jc w:val="both"/>
        <w:rPr>
          <w:color w:val="000000"/>
        </w:rPr>
      </w:pPr>
      <w:r>
        <w:rPr>
          <w:color w:val="000000"/>
        </w:rPr>
      </w:r>
    </w:p>
    <w:p>
      <w:pPr>
        <w:pStyle w:val="Normal"/>
        <w:ind w:start="720" w:end="749"/>
        <w:jc w:val="both"/>
        <w:rPr>
          <w:color w:val="000000"/>
        </w:rPr>
      </w:pPr>
      <w:r>
        <w:rPr>
          <w:color w:val="000000"/>
        </w:rPr>
        <w:tab/>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/mnt/main-storage/datasets/enron-docs/doc/Board_Resolution__041901.doc</w:t>
    </w:r>
    <w:r>
      <w:rPr>
        <w:sz w:val="16"/>
      </w:rPr>
      <w:fldChar w:fldCharType="end"/>
    </w:r>
  </w:p>
</w:ftr>
</file>

<file path=word/settings.xml><?xml version="1.0" encoding="utf-8"?>
<w:settings xmlns:w="http://schemas.openxmlformats.org/wordprocessingml/2006/main">
  <w:zoom w:percent="92"/>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dentLeftRight">
    <w:name w:val="Indent Left &amp; Right"/>
    <w:basedOn w:val="Normal"/>
    <w:qFormat/>
    <w:pPr>
      <w:ind w:hanging="0" w:start="72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8" w:start="64" w:end="0"/>
      <w:jc w:val="both"/>
    </w:pPr>
    <w:rPr>
      <w:sz w:val="24"/>
    </w:rPr>
  </w:style>
  <w:style w:type="paragraph" w:styleId="BlockText">
    <w:name w:val="Block Text"/>
    <w:basedOn w:val="Normal"/>
    <w:qFormat/>
    <w:pPr>
      <w:tabs>
        <w:tab w:val="left" w:pos="720" w:leader="none"/>
        <w:tab w:val="left" w:pos="1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720" w:end="72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2001-04-19T13:45:00Z</dcterms:created>
  <dc:creator>Enron</dc:creator>
  <dc:description/>
  <dc:language>en-CA</dc:language>
  <cp:lastModifiedBy>drasmus</cp:lastModifiedBy>
  <cp:lastPrinted>2001-04-18T10:12:00Z</cp:lastPrinted>
  <dcterms:modified xsi:type="dcterms:W3CDTF">2001-04-19T15:30:00Z</dcterms:modified>
  <cp:revision>3</cp:revision>
  <dc:subject/>
  <dc:title>Excerpt from the February 18, 1998 Executive Committee Meeting:</dc:title>
</cp:coreProperties>
</file>