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t>PROPOSED RESOLUTIONS FOR THE</w:t>
      </w:r>
    </w:p>
    <w:p>
      <w:pPr>
        <w:pStyle w:val="Normal"/>
        <w:widowControl/>
        <w:jc w:val="center"/>
        <w:rPr>
          <w:sz w:val="24"/>
        </w:rPr>
      </w:pPr>
      <w:r>
        <w:rPr>
          <w:sz w:val="24"/>
        </w:rPr>
        <w:t xml:space="preserve">BOARD OF DIRECTORS OF ENRON CORP. </w:t>
      </w:r>
    </w:p>
    <w:p>
      <w:pPr>
        <w:pStyle w:val="Normal"/>
        <w:widowControl/>
        <w:jc w:val="center"/>
        <w:rPr/>
      </w:pPr>
      <w:r>
        <w:rPr>
          <w:sz w:val="24"/>
        </w:rPr>
        <w:t>(THE "</w:t>
      </w:r>
      <w:r>
        <w:rPr>
          <w:sz w:val="24"/>
          <w:u w:val="single"/>
        </w:rPr>
        <w:t>COMPANY</w:t>
      </w:r>
      <w:r>
        <w:rPr>
          <w:sz w:val="24"/>
        </w:rPr>
        <w:t>")</w:t>
      </w:r>
    </w:p>
    <w:p>
      <w:pPr>
        <w:pStyle w:val="Normal"/>
        <w:widowControl/>
        <w:jc w:val="center"/>
        <w:rPr>
          <w:sz w:val="24"/>
        </w:rPr>
      </w:pPr>
      <w:r>
        <w:rPr>
          <w:sz w:val="24"/>
        </w:rPr>
      </w:r>
    </w:p>
    <w:p>
      <w:pPr>
        <w:pStyle w:val="Normal"/>
        <w:widowControl/>
        <w:jc w:val="center"/>
        <w:rPr>
          <w:sz w:val="24"/>
        </w:rPr>
      </w:pPr>
      <w:r>
        <w:rPr>
          <w:sz w:val="24"/>
        </w:rPr>
      </w:r>
    </w:p>
    <w:p>
      <w:pPr>
        <w:pStyle w:val="BodyText2"/>
        <w:widowControl/>
        <w:rPr/>
      </w:pPr>
      <w:r>
        <w:rPr/>
        <w:t>WHEREAS, Enron Power Marketing, Inc. ("</w:t>
      </w:r>
      <w:r>
        <w:rPr>
          <w:u w:val="single"/>
        </w:rPr>
        <w:t>EPMI</w:t>
      </w:r>
      <w:r>
        <w:rPr/>
        <w:t>"), a subsidiary of Enron North America Corp. ("</w:t>
      </w:r>
      <w:r>
        <w:rPr>
          <w:u w:val="single"/>
        </w:rPr>
        <w:t>ENA</w:t>
      </w:r>
      <w:r>
        <w:rPr/>
        <w:t>") and DeAcero, S.A. De S.V. ("</w:t>
      </w:r>
      <w:r>
        <w:rPr>
          <w:u w:val="single"/>
        </w:rPr>
        <w:t>DeAcero</w:t>
      </w:r>
      <w:r>
        <w:rPr/>
        <w:t>") have executed a Power Sale Agreement (the "</w:t>
      </w:r>
      <w:r>
        <w:rPr>
          <w:u w:val="single"/>
        </w:rPr>
        <w:t>PSA</w:t>
      </w:r>
      <w:r>
        <w:rPr/>
        <w:t>") dated as of November 21, 2000, pursuant to which EPMI has agreed to sell, and DeAcero has agreed to purchase, electric energy for a term of fifteen (15) years, subject to certain conditions precedent ("</w:t>
      </w:r>
      <w:r>
        <w:rPr>
          <w:u w:val="single"/>
        </w:rPr>
        <w:t>PSA Conditions</w:t>
      </w:r>
      <w:r>
        <w:rPr/>
        <w:t>"), which include approval of the PSA by EPMI or Company management;</w:t>
      </w:r>
    </w:p>
    <w:p>
      <w:pPr>
        <w:pStyle w:val="BodyText2"/>
        <w:widowControl/>
        <w:rPr/>
      </w:pPr>
      <w:r>
        <w:rPr/>
      </w:r>
    </w:p>
    <w:p>
      <w:pPr>
        <w:pStyle w:val="Normal"/>
        <w:widowControl/>
        <w:ind w:firstLine="720" w:end="0"/>
        <w:jc w:val="both"/>
        <w:rPr/>
      </w:pPr>
      <w:r>
        <w:rPr>
          <w:sz w:val="24"/>
        </w:rPr>
        <w:t>RESOLVED, the Company hereby authorizes and empowers the Chairman and Chief Executive Officer of ENA (the "</w:t>
      </w:r>
      <w:r>
        <w:rPr>
          <w:sz w:val="24"/>
          <w:u w:val="single"/>
        </w:rPr>
        <w:t>ENA Chairman</w:t>
      </w:r>
      <w:r>
        <w:rPr>
          <w:sz w:val="24"/>
        </w:rPr>
        <w:t>") (a) to determine whether the PSA shall be approved, and (b) if the PSA Conditions are not satisfied, to waive the PSA Conditions or cause the PSA to terminate, as the ENA Chairman deems advisable, and (c) to approve amendments or modifications to the PSA, as the ENA Chairman deems advisable; and</w:t>
      </w:r>
    </w:p>
    <w:p>
      <w:pPr>
        <w:pStyle w:val="Normal"/>
        <w:widowControl/>
        <w:ind w:firstLine="720" w:end="0"/>
        <w:jc w:val="both"/>
        <w:rPr>
          <w:sz w:val="24"/>
        </w:rPr>
      </w:pPr>
      <w:r>
        <w:rPr>
          <w:sz w:val="24"/>
        </w:rPr>
      </w:r>
    </w:p>
    <w:p>
      <w:pPr>
        <w:pStyle w:val="Normal"/>
        <w:widowControl/>
        <w:ind w:firstLine="720" w:end="0"/>
        <w:jc w:val="both"/>
        <w:rPr>
          <w:sz w:val="24"/>
        </w:rPr>
      </w:pPr>
      <w:r>
        <w:rPr>
          <w:sz w:val="24"/>
        </w:rPr>
        <w:tab/>
        <w:t>RESOLVED FURTHER, that the proper officers of ENA and EPMI, acting at the direction of the ENA Chairman, be, and each of them hereby is, authorized, empowered, and directed (any one of them acting alone) to take any and all such further action, to amend, execute, and deliver all such further instruments and documents, for and in the name and on behalf of the ENA and EPMI, under its corporate seal or otherwise, and to pay all such expenses as in their discretion appear to be necessary, proper, or advisable to carry into effect the purposes and intentions of this and each of the foregoing resolutions.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ind w:firstLine="720" w:start="0" w:end="0"/>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2000-12-19T16:01:00Z</dcterms:created>
  <dc:creator>ECT</dc:creator>
  <dc:description/>
  <dc:language>en-CA</dc:language>
  <cp:lastModifiedBy>rcarter</cp:lastModifiedBy>
  <cp:lastPrinted>2000-12-19T14:28:00Z</cp:lastPrinted>
  <dcterms:modified xsi:type="dcterms:W3CDTF">2001-03-08T17:21:00Z</dcterms:modified>
  <cp:revision>15</cp:revision>
  <dc:subject/>
  <dc:title>PROPOSED RESOLUTIONS</dc:title>
</cp:coreProperties>
</file>