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Draft – December 6, 2000</w:t>
      </w:r>
    </w:p>
    <w:p>
      <w:pPr>
        <w:pStyle w:val="Normal"/>
        <w:jc w:val="end"/>
        <w:rPr/>
      </w:pPr>
      <w:r>
        <w:rPr/>
      </w:r>
    </w:p>
    <w:p>
      <w:pPr>
        <w:pStyle w:val="Normal"/>
        <w:jc w:val="end"/>
        <w:rPr/>
      </w:pPr>
      <w:r>
        <w:rPr/>
        <w:t>MINUTES of the meeting of the</w:t>
      </w:r>
    </w:p>
    <w:p>
      <w:pPr>
        <w:pStyle w:val="Normal"/>
        <w:jc w:val="end"/>
        <w:rPr/>
      </w:pPr>
      <w:r>
        <w:rPr/>
        <w:t xml:space="preserve">BOARD OF DIRECTORS of the </w:t>
      </w:r>
    </w:p>
    <w:p>
      <w:pPr>
        <w:pStyle w:val="Normal"/>
        <w:jc w:val="end"/>
        <w:rPr/>
      </w:pPr>
      <w:r>
        <w:rPr/>
        <w:t>INTERNATIONAL SWAPS AND</w:t>
      </w:r>
    </w:p>
    <w:p>
      <w:pPr>
        <w:pStyle w:val="Normal"/>
        <w:jc w:val="end"/>
        <w:rPr/>
      </w:pPr>
      <w:r>
        <w:rPr/>
        <w:t>DERIVATIVES ASSOCIATION, INC.</w:t>
      </w:r>
    </w:p>
    <w:p>
      <w:pPr>
        <w:pStyle w:val="Normal"/>
        <w:jc w:val="end"/>
        <w:rPr/>
      </w:pPr>
      <w:r>
        <w:rPr/>
        <w:t>(The “Association”), held on November 15, 2000</w:t>
      </w:r>
    </w:p>
    <w:p>
      <w:pPr>
        <w:pStyle w:val="Normal"/>
        <w:jc w:val="end"/>
        <w:rPr/>
      </w:pPr>
      <w:r>
        <w:rPr/>
      </w:r>
    </w:p>
    <w:p>
      <w:pPr>
        <w:pStyle w:val="Normal"/>
        <w:jc w:val="both"/>
        <w:rPr/>
      </w:pPr>
      <w:r>
        <w:rPr/>
      </w:r>
    </w:p>
    <w:p>
      <w:pPr>
        <w:pStyle w:val="Normal"/>
        <w:jc w:val="both"/>
        <w:rPr/>
      </w:pPr>
      <w:r>
        <w:rPr/>
        <w:t>A meeting of the Board of Directors of the Association was held on November 15, 2000 commencing at 12:00 p.m., local time, hosted by Bank of America at Nine West 57</w:t>
      </w:r>
      <w:r>
        <w:rPr>
          <w:vertAlign w:val="superscript"/>
        </w:rPr>
        <w:t>th</w:t>
      </w:r>
      <w:r>
        <w:rPr/>
        <w:t xml:space="preserve"> Street, 32</w:t>
      </w:r>
      <w:r>
        <w:rPr>
          <w:vertAlign w:val="superscript"/>
        </w:rPr>
        <w:t>nd</w:t>
      </w:r>
      <w:r>
        <w:rPr/>
        <w:t xml:space="preserve"> Floor, New York, New York.  The following directors were present:</w:t>
      </w:r>
    </w:p>
    <w:p>
      <w:pPr>
        <w:pStyle w:val="Normal"/>
        <w:jc w:val="both"/>
        <w:rPr/>
      </w:pPr>
      <w:r>
        <w:rPr/>
      </w:r>
    </w:p>
    <w:p>
      <w:pPr>
        <w:pStyle w:val="Normal"/>
        <w:jc w:val="both"/>
        <w:rPr/>
      </w:pPr>
      <w:r>
        <w:rPr/>
      </w:r>
    </w:p>
    <w:p>
      <w:pPr>
        <w:pStyle w:val="Normal"/>
        <w:jc w:val="both"/>
        <w:rPr/>
      </w:pPr>
      <w:r>
        <w:rPr/>
        <w:tab/>
        <w:t>Keith Bailey</w:t>
        <w:tab/>
        <w:tab/>
        <w:tab/>
        <w:tab/>
        <w:t>Damian Kissane</w:t>
      </w:r>
    </w:p>
    <w:p>
      <w:pPr>
        <w:pStyle w:val="Normal"/>
        <w:ind w:firstLine="720" w:end="0"/>
        <w:jc w:val="both"/>
        <w:rPr/>
      </w:pPr>
      <w:r>
        <w:rPr/>
        <w:t>Douglas Bongartz-Renaud</w:t>
        <w:tab/>
        <w:tab/>
        <w:t>Kazuhiko Koshikawa</w:t>
      </w:r>
    </w:p>
    <w:p>
      <w:pPr>
        <w:pStyle w:val="Normal"/>
        <w:jc w:val="both"/>
        <w:rPr/>
      </w:pPr>
      <w:r>
        <w:rPr/>
        <w:tab/>
        <w:t>Henning Bruttel</w:t>
        <w:tab/>
        <w:tab/>
        <w:tab/>
        <w:t>Ravitt Mandell</w:t>
      </w:r>
    </w:p>
    <w:p>
      <w:pPr>
        <w:pStyle w:val="Normal"/>
        <w:jc w:val="both"/>
        <w:rPr/>
      </w:pPr>
      <w:r>
        <w:rPr/>
        <w:tab/>
        <w:t>Sebastien Cahen</w:t>
        <w:tab/>
        <w:tab/>
        <w:tab/>
        <w:t>Jerry del Missier</w:t>
      </w:r>
    </w:p>
    <w:p>
      <w:pPr>
        <w:pStyle w:val="Normal"/>
        <w:jc w:val="both"/>
        <w:rPr/>
      </w:pPr>
      <w:r>
        <w:rPr/>
        <w:tab/>
        <w:t>Tim Frederickson</w:t>
        <w:tab/>
        <w:tab/>
        <w:tab/>
        <w:t>Tom Montag</w:t>
      </w:r>
    </w:p>
    <w:p>
      <w:pPr>
        <w:pStyle w:val="Normal"/>
        <w:jc w:val="both"/>
        <w:rPr/>
      </w:pPr>
      <w:r>
        <w:rPr/>
        <w:tab/>
        <w:t>Diane Genova</w:t>
        <w:tab/>
        <w:tab/>
        <w:tab/>
        <w:tab/>
        <w:t>Jonathan Moulds</w:t>
      </w:r>
    </w:p>
    <w:p>
      <w:pPr>
        <w:pStyle w:val="Normal"/>
        <w:ind w:firstLine="720" w:end="0"/>
        <w:jc w:val="both"/>
        <w:rPr/>
      </w:pPr>
      <w:r>
        <w:rPr/>
        <w:t>Richard Grove</w:t>
        <w:tab/>
        <w:tab/>
        <w:tab/>
        <w:tab/>
        <w:t>Dennis Oakley</w:t>
      </w:r>
    </w:p>
    <w:p>
      <w:pPr>
        <w:pStyle w:val="Normal"/>
        <w:jc w:val="both"/>
        <w:rPr/>
      </w:pPr>
      <w:r>
        <w:rPr/>
        <w:tab/>
        <w:t>Mark Haedicke</w:t>
        <w:tab/>
        <w:tab/>
        <w:tab/>
        <w:t>Luciano Steve</w:t>
      </w:r>
    </w:p>
    <w:p>
      <w:pPr>
        <w:pStyle w:val="Normal"/>
        <w:jc w:val="both"/>
        <w:rPr/>
      </w:pPr>
      <w:r>
        <w:rPr/>
        <w:tab/>
        <w:t>Jose Manuel Hernandez-Beneyto</w:t>
        <w:tab/>
        <w:t>Teruo Tanaka</w:t>
      </w:r>
    </w:p>
    <w:p>
      <w:pPr>
        <w:pStyle w:val="Normal"/>
        <w:jc w:val="both"/>
        <w:rPr/>
      </w:pPr>
      <w:r>
        <w:rPr/>
        <w:tab/>
        <w:t>George James</w:t>
        <w:tab/>
        <w:tab/>
        <w:tab/>
        <w:tab/>
        <w:t>Stephen Targett</w:t>
      </w:r>
    </w:p>
    <w:p>
      <w:pPr>
        <w:pStyle w:val="Normal"/>
        <w:jc w:val="both"/>
        <w:rPr/>
      </w:pPr>
      <w:r>
        <w:rPr/>
      </w:r>
    </w:p>
    <w:p>
      <w:pPr>
        <w:pStyle w:val="Normal"/>
        <w:jc w:val="both"/>
        <w:rPr/>
      </w:pPr>
      <w:r>
        <w:rPr/>
        <w:t>Robert Mark participated by telephone.</w:t>
      </w:r>
    </w:p>
    <w:p>
      <w:pPr>
        <w:pStyle w:val="Normal"/>
        <w:jc w:val="both"/>
        <w:rPr/>
      </w:pPr>
      <w:r>
        <w:rPr/>
      </w:r>
    </w:p>
    <w:p>
      <w:pPr>
        <w:pStyle w:val="Normal"/>
        <w:jc w:val="both"/>
        <w:rPr/>
      </w:pPr>
      <w:r>
        <w:rPr/>
        <w:t xml:space="preserve">Ernest Patrikis did not attend the meeting.  </w:t>
      </w:r>
    </w:p>
    <w:p>
      <w:pPr>
        <w:pStyle w:val="Normal"/>
        <w:jc w:val="both"/>
        <w:rPr/>
      </w:pPr>
      <w:r>
        <w:rPr/>
      </w:r>
    </w:p>
    <w:p>
      <w:pPr>
        <w:pStyle w:val="Normal"/>
        <w:jc w:val="both"/>
        <w:rPr/>
      </w:pPr>
      <w:r>
        <w:rPr/>
        <w:t>Also present were Ruth Ainslie, Senior Director of Policy for the Americas and Media Relations; Nick Collier, Director of European Policy and Head of the Association’s London Office; Mary Cunningham, Director of Member Relations and Conferences; Huzefa Deesawala, Director of Finance; Shigeki Kawano, Director of Japanese Policy and Head of the Tokyo Office; Angela Papesch, Director of Southeast Asia and Head of the Singapore Office; Robert Pickel, General Counsel; and Kimberly Summe, Assistant General Counsel.</w:t>
      </w:r>
    </w:p>
    <w:p>
      <w:pPr>
        <w:pStyle w:val="Normal"/>
        <w:jc w:val="both"/>
        <w:rPr/>
      </w:pPr>
      <w:r>
        <w:rPr/>
      </w:r>
    </w:p>
    <w:p>
      <w:pPr>
        <w:pStyle w:val="Normal"/>
        <w:jc w:val="both"/>
        <w:rPr/>
      </w:pPr>
      <w:r>
        <w:rPr/>
        <w:t>Richard Metcalfe, Assistant Director of European Policy, and Emmanuelle Sebton, Head of Risk Management, participated by telephone.</w:t>
      </w:r>
    </w:p>
    <w:p>
      <w:pPr>
        <w:pStyle w:val="Normal"/>
        <w:jc w:val="both"/>
        <w:rPr/>
      </w:pPr>
      <w:r>
        <w:rPr/>
      </w:r>
    </w:p>
    <w:p>
      <w:pPr>
        <w:pStyle w:val="Normal"/>
        <w:jc w:val="both"/>
        <w:rPr/>
      </w:pPr>
      <w:r>
        <w:rPr/>
        <w:t>Mr. Bailey called the meeting to order.</w:t>
      </w:r>
    </w:p>
    <w:p>
      <w:pPr>
        <w:pStyle w:val="Normal"/>
        <w:jc w:val="both"/>
        <w:rPr/>
      </w:pPr>
      <w:r>
        <w:rPr/>
      </w:r>
    </w:p>
    <w:p>
      <w:pPr>
        <w:pStyle w:val="Normal"/>
        <w:jc w:val="both"/>
        <w:rPr/>
      </w:pPr>
      <w:r>
        <w:rPr/>
        <w:t>Mr. Grove introduced the ISDA staff members who were present at the meeting.</w:t>
      </w:r>
      <w:r>
        <w:br w:type="page"/>
      </w:r>
    </w:p>
    <w:p>
      <w:pPr>
        <w:pStyle w:val="Normal"/>
        <w:jc w:val="both"/>
        <w:rPr>
          <w:b/>
          <w:bCs/>
          <w:u w:val="single"/>
        </w:rPr>
      </w:pPr>
      <w:r>
        <w:rPr>
          <w:b/>
          <w:bCs/>
          <w:u w:val="single"/>
        </w:rPr>
        <w:t>Approval of Board Meeting Minutes</w:t>
      </w:r>
    </w:p>
    <w:p>
      <w:pPr>
        <w:pStyle w:val="Normal"/>
        <w:jc w:val="both"/>
        <w:rPr>
          <w:b/>
          <w:bCs/>
          <w:u w:val="single"/>
        </w:rPr>
      </w:pPr>
      <w:r>
        <w:rPr>
          <w:b/>
          <w:bCs/>
          <w:u w:val="single"/>
        </w:rPr>
      </w:r>
    </w:p>
    <w:p>
      <w:pPr>
        <w:pStyle w:val="Normal"/>
        <w:jc w:val="both"/>
        <w:rPr/>
      </w:pPr>
      <w:r>
        <w:rPr/>
        <w:t>The Board considered the approval of the draft minutes of the September 13, 2000 Board Meeting.  After a discussion, the approval of the draft minutes was deferred to the next Board meeting on January 18, 2001.</w:t>
      </w:r>
    </w:p>
    <w:p>
      <w:pPr>
        <w:pStyle w:val="Normal"/>
        <w:jc w:val="both"/>
        <w:rPr/>
      </w:pPr>
      <w:r>
        <w:rPr/>
      </w:r>
    </w:p>
    <w:p>
      <w:pPr>
        <w:pStyle w:val="Heading1"/>
        <w:ind w:hanging="0" w:start="0"/>
        <w:rPr/>
      </w:pPr>
      <w:r>
        <w:rPr/>
        <w:t>Approval of Membership Applications</w:t>
      </w:r>
    </w:p>
    <w:p>
      <w:pPr>
        <w:pStyle w:val="Normal"/>
        <w:jc w:val="both"/>
        <w:rPr/>
      </w:pPr>
      <w:r>
        <w:rPr/>
      </w:r>
    </w:p>
    <w:p>
      <w:pPr>
        <w:pStyle w:val="Normal"/>
        <w:jc w:val="both"/>
        <w:rPr/>
      </w:pPr>
      <w:r>
        <w:rPr/>
        <w:t>The Board considered the following membership applications:</w:t>
      </w:r>
    </w:p>
    <w:p>
      <w:pPr>
        <w:pStyle w:val="Normal"/>
        <w:jc w:val="both"/>
        <w:rPr/>
      </w:pPr>
      <w:r>
        <w:rPr/>
      </w:r>
    </w:p>
    <w:p>
      <w:pPr>
        <w:pStyle w:val="Normal"/>
        <w:jc w:val="both"/>
        <w:rPr/>
      </w:pPr>
      <w:r>
        <w:rPr/>
        <w:tab/>
        <w:t xml:space="preserve">ACE Capital Re International Ltd </w:t>
        <w:tab/>
        <w:tab/>
        <w:tab/>
        <w:t>Subscriber Membership</w:t>
      </w:r>
    </w:p>
    <w:p>
      <w:pPr>
        <w:pStyle w:val="Normal"/>
        <w:jc w:val="both"/>
        <w:rPr/>
      </w:pPr>
      <w:r>
        <w:rPr/>
        <w:tab/>
        <w:t>Shell International Limited</w:t>
        <w:tab/>
        <w:tab/>
        <w:tab/>
        <w:tab/>
        <w:t>Primary Membership</w:t>
      </w:r>
    </w:p>
    <w:p>
      <w:pPr>
        <w:pStyle w:val="Normal"/>
        <w:jc w:val="both"/>
        <w:rPr/>
      </w:pPr>
      <w:r>
        <w:rPr/>
      </w:r>
    </w:p>
    <w:p>
      <w:pPr>
        <w:pStyle w:val="Normal"/>
        <w:jc w:val="both"/>
        <w:rPr/>
      </w:pPr>
      <w:r>
        <w:rPr/>
        <w:t>Mr. Grove stated that Ace Guaranty is a member at the Primary Membership level.  ACE Capital Re International Ltd is a second application.  In response to a question as to whether Shell International Limited should be a Primary Member, Ms. Cunningham stated that it is anticipated that a number of the Subscriber Member energy companies will be asked to increase their membership level to the Primary Membership category.  Mr. Haedicke stated that the Royal Dutch/Shell Group is a huge, world-wide trader and that BP-Amoco traded at a lesser level.  It was the sense of the Board that Shell International Limited should apply as a Primary Member.</w:t>
      </w:r>
    </w:p>
    <w:p>
      <w:pPr>
        <w:pStyle w:val="Normal"/>
        <w:jc w:val="both"/>
        <w:rPr/>
      </w:pPr>
      <w:r>
        <w:rPr/>
      </w:r>
    </w:p>
    <w:p>
      <w:pPr>
        <w:pStyle w:val="Normal"/>
        <w:jc w:val="both"/>
        <w:rPr/>
      </w:pPr>
      <w:r>
        <w:rPr/>
        <w:t>Upon a motion duly made, the following resolution was unanimously adopted:</w:t>
      </w:r>
    </w:p>
    <w:p>
      <w:pPr>
        <w:pStyle w:val="Normal"/>
        <w:jc w:val="both"/>
        <w:rPr/>
      </w:pPr>
      <w:r>
        <w:rPr/>
      </w:r>
    </w:p>
    <w:p>
      <w:pPr>
        <w:pStyle w:val="Normal"/>
        <w:ind w:start="720" w:end="0"/>
        <w:jc w:val="both"/>
        <w:rPr/>
      </w:pPr>
      <w:r>
        <w:rPr/>
        <w:t>RESOLVED, that the following application for membership in the category indicated be, and the same hereby is, approved; and that, subject to the receipt by the Association of payment of an annual membership fee of $3,000 for the Subscriber Member, the following institution be, and the same hereby is, elected a member of the Association as indicated below:</w:t>
      </w:r>
    </w:p>
    <w:p>
      <w:pPr>
        <w:pStyle w:val="Normal"/>
        <w:ind w:start="720" w:end="0"/>
        <w:jc w:val="both"/>
        <w:rPr/>
      </w:pPr>
      <w:r>
        <w:rPr/>
      </w:r>
    </w:p>
    <w:p>
      <w:pPr>
        <w:pStyle w:val="Normal"/>
        <w:ind w:start="720" w:end="0"/>
        <w:jc w:val="both"/>
        <w:rPr/>
      </w:pPr>
      <w:r>
        <w:rPr/>
        <w:tab/>
        <w:t>ACE Capital Re International Ltd</w:t>
        <w:tab/>
        <w:tab/>
        <w:t>Subscriber Membership</w:t>
      </w:r>
    </w:p>
    <w:p>
      <w:pPr>
        <w:pStyle w:val="Normal"/>
        <w:ind w:start="720" w:end="0"/>
        <w:jc w:val="both"/>
        <w:rPr/>
      </w:pPr>
      <w:r>
        <w:rPr/>
        <w:tab/>
      </w:r>
    </w:p>
    <w:p>
      <w:pPr>
        <w:pStyle w:val="Normal"/>
        <w:jc w:val="both"/>
        <w:rPr/>
      </w:pPr>
      <w:r>
        <w:rPr/>
        <w:t>The membership application of Shell International Limited was deferred until the next Board meeting on January 18, 2001.</w:t>
      </w:r>
    </w:p>
    <w:p>
      <w:pPr>
        <w:pStyle w:val="Normal"/>
        <w:jc w:val="both"/>
        <w:rPr/>
      </w:pPr>
      <w:r>
        <w:rPr/>
      </w:r>
    </w:p>
    <w:p>
      <w:pPr>
        <w:pStyle w:val="Normal"/>
        <w:jc w:val="both"/>
        <w:rPr/>
      </w:pPr>
      <w:r>
        <w:rPr/>
        <w:t>Mr. Grove stated that Derivatives Net Inc. is an Associate Broker Member.  Associate Broker Membership is a new category established in January 2000 and has become a vibrant membership group.  Derivatives Net Inc. initially joined in 1999 as an Association member at the $25,000 level of Primary Member and adjusted its status to the $15,000 Associate Broker Member category once that category came into effect.  Derivatives Net Inc. would now like to adjust its membership to the Primary Membership level.  Derivatives Net Inc.’s reasons for adjusting their membership status relates to their interest in raising their profile, joining various Association committees and participating in the development of an E-Commerce Committee.  Ms. Cunningham noted that Derivatives Net Inc. is prepared to sponsor the Air and Space Museum Night, at a cost of $160,000, at the Annual General Meeting in April 2000.</w:t>
      </w:r>
    </w:p>
    <w:p>
      <w:pPr>
        <w:pStyle w:val="Normal"/>
        <w:jc w:val="both"/>
        <w:rPr/>
      </w:pPr>
      <w:r>
        <w:rPr/>
      </w:r>
    </w:p>
    <w:p>
      <w:pPr>
        <w:pStyle w:val="Normal"/>
        <w:jc w:val="both"/>
        <w:rPr/>
      </w:pPr>
      <w:r>
        <w:rPr/>
        <w:t>A number of concerns with the Deriatives Net Inc. request were expressed, including the view that brokers are not currently permitted to be Association Primary Members and that the request appeared to be a quid pro quo.  In addition, a view was stated that it should be clearly expressed that the Association is not making any specific commitments in exchange for the new membership category.</w:t>
      </w:r>
    </w:p>
    <w:p>
      <w:pPr>
        <w:pStyle w:val="Normal"/>
        <w:jc w:val="both"/>
        <w:rPr/>
      </w:pPr>
      <w:r>
        <w:rPr/>
      </w:r>
    </w:p>
    <w:p>
      <w:pPr>
        <w:pStyle w:val="Normal"/>
        <w:jc w:val="both"/>
        <w:rPr/>
      </w:pPr>
      <w:r>
        <w:rPr/>
        <w:t>The Board instructed</w:t>
      </w:r>
      <w:r>
        <w:rPr>
          <w:i/>
          <w:iCs/>
        </w:rPr>
        <w:t xml:space="preserve"> </w:t>
      </w:r>
      <w:r>
        <w:rPr/>
        <w:t xml:space="preserve">Mr. Grove to speak with Derivatives Net Inc. and report back at the next Board meeting in January.  </w:t>
      </w:r>
    </w:p>
    <w:p>
      <w:pPr>
        <w:pStyle w:val="Normal"/>
        <w:jc w:val="both"/>
        <w:rPr/>
      </w:pPr>
      <w:r>
        <w:rPr/>
      </w:r>
    </w:p>
    <w:p>
      <w:pPr>
        <w:pStyle w:val="BodyText"/>
        <w:rPr/>
      </w:pPr>
      <w:r>
        <w:rPr/>
        <w:t>Appointment of Nominating Committee and Approval of Resolutions Relating to the Annual General Meeting and Board Elections</w:t>
      </w:r>
    </w:p>
    <w:p>
      <w:pPr>
        <w:pStyle w:val="Normal"/>
        <w:jc w:val="both"/>
        <w:rPr/>
      </w:pPr>
      <w:r>
        <w:rPr/>
      </w:r>
    </w:p>
    <w:p>
      <w:pPr>
        <w:pStyle w:val="Normal"/>
        <w:jc w:val="both"/>
        <w:rPr/>
      </w:pPr>
      <w:r>
        <w:rPr/>
        <w:t>Mr. Pickel summarized the materials provided under Tab 3 of the Board Book:  the resolutions relating to the establishment of the Nominating Committee, the Form of Notice, the Form of Proxy and the Form of Ballot.  The following resolutions were then approved:</w:t>
      </w:r>
    </w:p>
    <w:p>
      <w:pPr>
        <w:pStyle w:val="Normal"/>
        <w:ind w:start="720" w:end="0"/>
        <w:jc w:val="both"/>
        <w:rPr/>
      </w:pPr>
      <w:r>
        <w:rPr/>
      </w:r>
    </w:p>
    <w:p>
      <w:pPr>
        <w:pStyle w:val="Normal"/>
        <w:ind w:start="720" w:end="0"/>
        <w:jc w:val="both"/>
        <w:rPr/>
      </w:pPr>
      <w:r>
        <w:rPr/>
        <w:t>RESOLVED, that the form, terms and provisions of the notice of the Annual Meeting, proxy and ballot, substantially in the forms presented to this meeting and attached to these minutes be, and the same hereby are, approved, with such additions, deletions and changes, including the insertion of appropriate names, dates and locations, as shall be approved by an officer of the Association (such approval to be conclusively RESOLVED, that the 2001 annual meeting of members of the Association (the “Annual Meeting”) will be held April 4-6 at the Omni Shoreham Hotel in Washington, D.C., the United States of America.</w:t>
      </w:r>
    </w:p>
    <w:p>
      <w:pPr>
        <w:pStyle w:val="Normal"/>
        <w:jc w:val="both"/>
        <w:rPr/>
      </w:pPr>
      <w:r>
        <w:rPr/>
      </w:r>
    </w:p>
    <w:p>
      <w:pPr>
        <w:pStyle w:val="Normal"/>
        <w:ind w:start="720" w:end="0"/>
        <w:jc w:val="both"/>
        <w:rPr/>
      </w:pPr>
      <w:r>
        <w:rPr/>
        <w:t>RESOLVED, that the date of record for entitlement to notice of the Annual Meeting shall be, and the same hereby is, designated as the date of commencement of mailing such notice; and that all Primary Members of the Association in good standing as of the date of the Annual Meeting shall be entitled to vote thereat.</w:t>
      </w:r>
    </w:p>
    <w:p>
      <w:pPr>
        <w:pStyle w:val="Normal"/>
        <w:jc w:val="both"/>
        <w:rPr/>
      </w:pPr>
      <w:r>
        <w:rPr/>
      </w:r>
    </w:p>
    <w:p>
      <w:pPr>
        <w:pStyle w:val="Normal"/>
        <w:ind w:start="720" w:end="0"/>
        <w:jc w:val="both"/>
        <w:rPr/>
      </w:pPr>
      <w:r>
        <w:rPr/>
        <w:t>RESOLVED, that in accordance with the By-laws of the Association there shall be, and hereby is, created a nominating committee for the election of directors at the Annual Meeting (the “2001 Nominating Committee”) consisting of Douglas Bongartz-Renaud as chairman of the 2001 Nominating Committee, and Henning Bruttel, Mark Haedicke, George James, Damian Kissane, Kazuhiko Koshikawa, Robert Mark, Jonathan Moulds, Dennis Oakley, Luciano Steve and Stephen Targett as members; and that in accordance with the By-laws of the Association, the 2001 Nominating Committee shall be, and it hereby is, authorized and directed to proposed for election at the Annual Meeting eleven nominees for election as directors of the Association to serve for two years as directors of the Association.</w:t>
      </w:r>
    </w:p>
    <w:p>
      <w:pPr>
        <w:pStyle w:val="Normal"/>
        <w:jc w:val="both"/>
        <w:rPr/>
      </w:pPr>
      <w:r>
        <w:rPr/>
      </w:r>
    </w:p>
    <w:p>
      <w:pPr>
        <w:pStyle w:val="Normal"/>
        <w:ind w:start="720" w:end="0"/>
        <w:jc w:val="both"/>
        <w:rPr/>
      </w:pPr>
      <w:r>
        <w:rPr/>
        <w:t>RESOLVED, that the officers of the Association be, and they hereby are, authorized and directed to solicit proxies for the Annual Meeting, which proxies shall include all nominees proposed by the 2001 Nominating Committee, as well as any nominees whose nominating petitions have been received at the Association’s offices on or prior to March 15, 2001; and that Keith Bailey, George James and Thomas Montag be, and each of them hereby is, authorized and directed to act as proxies in connection therewith evidenced by the mailing or use of such document in connection with the Annual Meeting).</w:t>
      </w:r>
    </w:p>
    <w:p>
      <w:pPr>
        <w:pStyle w:val="Normal"/>
        <w:jc w:val="both"/>
        <w:rPr/>
      </w:pPr>
      <w:r>
        <w:rPr/>
      </w:r>
    </w:p>
    <w:p>
      <w:pPr>
        <w:pStyle w:val="Normal"/>
        <w:ind w:start="720" w:end="0"/>
        <w:jc w:val="both"/>
        <w:rPr/>
      </w:pPr>
      <w:r>
        <w:rPr/>
        <w:t>RESOLVED, that for purposes of the Annual Meeting, Robert Pickel, or failing him, any such person as the person presiding at the Annual Meeting in accordance with the By-laws of the Association shall choose, be, and the same hereby is, appointed to act as inspector of votes at the Annual Meeting and at any adjournment thereof.</w:t>
      </w:r>
    </w:p>
    <w:p>
      <w:pPr>
        <w:pStyle w:val="Normal"/>
        <w:jc w:val="both"/>
        <w:rPr/>
      </w:pPr>
      <w:r>
        <w:rPr/>
      </w:r>
    </w:p>
    <w:p>
      <w:pPr>
        <w:pStyle w:val="Normal"/>
        <w:jc w:val="both"/>
        <w:rPr/>
      </w:pPr>
      <w:r>
        <w:rPr/>
        <w:t>Mr. Grove stated that the Nominating Committee would meet following the conclusion of the Board meeting.</w:t>
      </w:r>
    </w:p>
    <w:p>
      <w:pPr>
        <w:pStyle w:val="Normal"/>
        <w:jc w:val="both"/>
        <w:rPr/>
      </w:pPr>
      <w:r>
        <w:rPr/>
      </w:r>
    </w:p>
    <w:p>
      <w:pPr>
        <w:pStyle w:val="Heading1"/>
        <w:ind w:hanging="0" w:start="0"/>
        <w:rPr/>
      </w:pPr>
      <w:r>
        <w:rPr/>
        <w:t>Risk Management Database Projects</w:t>
      </w:r>
    </w:p>
    <w:p>
      <w:pPr>
        <w:pStyle w:val="Normal"/>
        <w:jc w:val="both"/>
        <w:rPr/>
      </w:pPr>
      <w:r>
        <w:rPr/>
      </w:r>
    </w:p>
    <w:p>
      <w:pPr>
        <w:pStyle w:val="Normal"/>
        <w:jc w:val="both"/>
        <w:rPr/>
      </w:pPr>
      <w:r>
        <w:rPr/>
        <w:t xml:space="preserve">Ms. Sebton stated that the Risk Management Database Project is proceeding.  She discussed a possible co-host of a risk management lunch with the Global Association of Risk Professionals, or GARP.  Ms. Sebton also discussed the International Association of Financial Engineers’ formation of a joint venture with the Association, at an estimated cost of $3,000.  Ms. Sebton was in favor of proceeding with the joint venture with International Association of Financial Engineers.  </w:t>
      </w:r>
    </w:p>
    <w:p>
      <w:pPr>
        <w:pStyle w:val="Normal"/>
        <w:jc w:val="both"/>
        <w:rPr/>
      </w:pPr>
      <w:r>
        <w:rPr/>
      </w:r>
    </w:p>
    <w:p>
      <w:pPr>
        <w:pStyle w:val="Normal"/>
        <w:jc w:val="both"/>
        <w:rPr/>
      </w:pPr>
      <w:r>
        <w:rPr/>
        <w:t>Mr. Mark expressed support for the risk management initiatives.  In particular, Mr. Mark stated that he supported the alliance with Robert Morris Associates.</w:t>
      </w:r>
    </w:p>
    <w:p>
      <w:pPr>
        <w:pStyle w:val="Normal"/>
        <w:jc w:val="both"/>
        <w:rPr/>
      </w:pPr>
      <w:r>
        <w:rPr/>
      </w:r>
    </w:p>
    <w:p>
      <w:pPr>
        <w:pStyle w:val="Normal"/>
        <w:jc w:val="both"/>
        <w:rPr/>
      </w:pPr>
      <w:r>
        <w:rPr/>
        <w:t>Mr. Oakley inquired whether any of the Association/GARP meetings will be held in New York.  Ms. Ainslie stated that there could be interactive risk management meetings between New York and London.  In response to Mr. Oakley, Ms. Ainslie stated that with the high quality of speakers invited to the risk management lunches, more participants should be attracted.</w:t>
      </w:r>
    </w:p>
    <w:p>
      <w:pPr>
        <w:pStyle w:val="Normal"/>
        <w:jc w:val="both"/>
        <w:rPr/>
      </w:pPr>
      <w:r>
        <w:rPr/>
      </w:r>
    </w:p>
    <w:p>
      <w:pPr>
        <w:pStyle w:val="Normal"/>
        <w:jc w:val="both"/>
        <w:rPr/>
      </w:pPr>
      <w:r>
        <w:rPr/>
        <w:t>Mr. Bailey inquired whether an alliance with KMV should be considered.  Ms. Sebton stated that the Association should not expect KMV to share anything with the Association.  It was also stated that KMV has an extensive database and that is their core product.</w:t>
      </w:r>
    </w:p>
    <w:p>
      <w:pPr>
        <w:pStyle w:val="Normal"/>
        <w:jc w:val="both"/>
        <w:rPr/>
      </w:pPr>
      <w:r>
        <w:rPr/>
      </w:r>
    </w:p>
    <w:p>
      <w:pPr>
        <w:pStyle w:val="Heading1"/>
        <w:ind w:hanging="0" w:start="0"/>
        <w:rPr/>
      </w:pPr>
      <w:r>
        <w:rPr/>
        <w:t>Ring-fencing</w:t>
      </w:r>
    </w:p>
    <w:p>
      <w:pPr>
        <w:pStyle w:val="Normal"/>
        <w:jc w:val="both"/>
        <w:rPr/>
      </w:pPr>
      <w:r>
        <w:rPr/>
      </w:r>
    </w:p>
    <w:p>
      <w:pPr>
        <w:pStyle w:val="Normal"/>
        <w:jc w:val="both"/>
        <w:rPr/>
      </w:pPr>
      <w:r>
        <w:rPr/>
        <w:t>Mr. Pickel stated that the issue of ring-fencing has been around for a while, but it flared up earlier this year with the introduction of the reference in some institutions’ confirmations to limiting exposure on a transaction to a specific branch of the institution.  Ring-fencing has been discussed in several Association working groups.</w:t>
      </w:r>
    </w:p>
    <w:p>
      <w:pPr>
        <w:pStyle w:val="Normal"/>
        <w:jc w:val="both"/>
        <w:rPr/>
      </w:pPr>
      <w:r>
        <w:rPr/>
      </w:r>
    </w:p>
    <w:p>
      <w:pPr>
        <w:pStyle w:val="Normal"/>
        <w:jc w:val="both"/>
        <w:rPr/>
      </w:pPr>
      <w:r>
        <w:rPr/>
        <w:t>The question was raised as to how the Association members felt about the issue.  Mr. Pickel stated that there were three “camps”:  (i) a group in favor of ring-fencing; (ii) a group opposed to ring-fencing; and (iii) a group that prefers not to ring-fence, but will negotiate ring-fencing on a case-by-case basis.</w:t>
      </w:r>
    </w:p>
    <w:p>
      <w:pPr>
        <w:pStyle w:val="Normal"/>
        <w:jc w:val="both"/>
        <w:rPr/>
      </w:pPr>
      <w:r>
        <w:rPr/>
      </w:r>
    </w:p>
    <w:p>
      <w:pPr>
        <w:pStyle w:val="Normal"/>
        <w:jc w:val="both"/>
        <w:rPr/>
      </w:pPr>
      <w:r>
        <w:rPr/>
        <w:t>It was asked whether standard language was necessary.  It was stated that if institutions choose to have ring-fencing, that should be negotiated at the outset in the context of the Master Agreement.  Another view was expressed that if the Association publishes standard language, in effect that indicates that it is a strong market practice.  It was doubted whether there was a major benefit to having standardized language.  It was also stated that some institutions favor having standard language.  Mr. Pickel stated that language has been drafted, and most people are comfortable with the draft.  The provision affects Section 10(a) of the 1992 ISDA Master Agreement and raises the question of whether an institution ring-fences and the risks that an institution ring-fences against.  It was stated that having standard language assists in thinking about the price of a derivative product.  The question was then asked whether ring-fencing impacts netting.  Mr. Pickel responded that not all jurisdictions have been asked this question.  Following this discussion, a hand vote was held, but no clear consensus was reached.</w:t>
      </w:r>
    </w:p>
    <w:p>
      <w:pPr>
        <w:pStyle w:val="Normal"/>
        <w:jc w:val="both"/>
        <w:rPr/>
      </w:pPr>
      <w:r>
        <w:rPr/>
      </w:r>
    </w:p>
    <w:p>
      <w:pPr>
        <w:pStyle w:val="Normal"/>
        <w:jc w:val="both"/>
        <w:rPr/>
      </w:pPr>
      <w:r>
        <w:rPr/>
        <w:t>Mr. Pickel stated that there was support for having a statement that ring-fencing should be negotiated in a Master Agreement, but not in a confirmation.  Mr. Pickel recommended that a brief paper be prepared, highlighting four or five issues to be considered if ring-fencing is agreed to, such as what branches are involved, the risks against which an entity ring-fences and how ring-fencing impacts netting in particular jurisdictions.  Under this proposal, no language on ring-fencing would be proposed by the Association.  The Board instructed Mr. Pickel to prepare such a paper.</w:t>
      </w:r>
    </w:p>
    <w:p>
      <w:pPr>
        <w:pStyle w:val="Normal"/>
        <w:jc w:val="both"/>
        <w:rPr/>
      </w:pPr>
      <w:r>
        <w:rPr/>
      </w:r>
    </w:p>
    <w:p>
      <w:pPr>
        <w:pStyle w:val="Normal"/>
        <w:jc w:val="both"/>
        <w:rPr/>
      </w:pPr>
      <w:r>
        <w:rPr/>
        <w:t xml:space="preserve">At this point, Mr. Mark left the meeting. </w:t>
      </w:r>
    </w:p>
    <w:p>
      <w:pPr>
        <w:pStyle w:val="Normal"/>
        <w:jc w:val="both"/>
        <w:rPr/>
      </w:pPr>
      <w:r>
        <w:rPr/>
      </w:r>
    </w:p>
    <w:p>
      <w:pPr>
        <w:pStyle w:val="Heading1"/>
        <w:ind w:hanging="0" w:start="0"/>
        <w:rPr/>
      </w:pPr>
      <w:r>
        <w:rPr/>
        <w:t>Master Agreement Issues</w:t>
      </w:r>
    </w:p>
    <w:p>
      <w:pPr>
        <w:pStyle w:val="Normal"/>
        <w:jc w:val="both"/>
        <w:rPr/>
      </w:pPr>
      <w:r>
        <w:rPr/>
      </w:r>
    </w:p>
    <w:p>
      <w:pPr>
        <w:pStyle w:val="Normal"/>
        <w:jc w:val="both"/>
        <w:rPr/>
      </w:pPr>
      <w:r>
        <w:rPr/>
        <w:t xml:space="preserve">Mr. Pickel summarized the materials located at Tab 7 of the Board Book regarding correspondence with the Bond Market Association and the International Securities Markets Association.  Ms. Mandell raised a possible concern with FAS 133 and the selling of options through a reverse repurchase transaction, noting that the mark-to-market would occur for the derivative, not the collateral.  Mr. Bailey stated that the BMA, ISMA and the Association should all coordinate efforts on this issue.  </w:t>
      </w:r>
    </w:p>
    <w:p>
      <w:pPr>
        <w:pStyle w:val="Normal"/>
        <w:jc w:val="both"/>
        <w:rPr/>
      </w:pPr>
      <w:r>
        <w:rPr/>
      </w:r>
    </w:p>
    <w:p>
      <w:pPr>
        <w:pStyle w:val="Heading1"/>
        <w:ind w:hanging="0" w:start="0"/>
        <w:rPr/>
      </w:pPr>
      <w:r>
        <w:rPr/>
        <w:t>Conference Activities</w:t>
      </w:r>
    </w:p>
    <w:p>
      <w:pPr>
        <w:pStyle w:val="Normal"/>
        <w:jc w:val="both"/>
        <w:rPr/>
      </w:pPr>
      <w:r>
        <w:rPr/>
      </w:r>
    </w:p>
    <w:p>
      <w:pPr>
        <w:pStyle w:val="Normal"/>
        <w:jc w:val="both"/>
        <w:rPr/>
      </w:pPr>
      <w:r>
        <w:rPr/>
        <w:t>Ms. Cunningham stated that 35 conferences are scheduled for 2001.  Documentation conferences are scheduled for France, Germany, the Czech Republic and South Africa.  In addition, four or five conferences are planned for various locations in South East Asia in 2001.  In March 2001, an Energy Conference is scheduled to be held in Houston, Texas, to be followed by a parallel meeting in London later in the year.  There is also a Risk Management Conference scheduled to be held in New York and London.</w:t>
      </w:r>
    </w:p>
    <w:p>
      <w:pPr>
        <w:pStyle w:val="Normal"/>
        <w:jc w:val="both"/>
        <w:rPr/>
      </w:pPr>
      <w:r>
        <w:rPr/>
      </w:r>
    </w:p>
    <w:p>
      <w:pPr>
        <w:pStyle w:val="Normal"/>
        <w:jc w:val="both"/>
        <w:rPr/>
      </w:pPr>
      <w:r>
        <w:rPr/>
        <w:t xml:space="preserve">Ms. Cunningham also reported on other scheduled conferences and noted that there were increases in costs for hosting these conferences.  Ms. Cunningham also stated that the Conference Department will be seeking speakers at the various Association conferences and meetings, particularly with respect to South East Asia.  Ms. Cunningham also discussed the Annual General Meeting in April 2001 and stated that Jeff Skilling of Enron is a confirmed speaker and an invitation has been extended to Steve Case and a second invitation was extended to Alan Greenspan.  </w:t>
      </w:r>
    </w:p>
    <w:p>
      <w:pPr>
        <w:pStyle w:val="Normal"/>
        <w:jc w:val="both"/>
        <w:rPr/>
      </w:pPr>
      <w:r>
        <w:rPr/>
      </w:r>
    </w:p>
    <w:p>
      <w:pPr>
        <w:pStyle w:val="Normal"/>
        <w:jc w:val="both"/>
        <w:rPr/>
      </w:pPr>
      <w:r>
        <w:rPr/>
        <w:t>Mr. Grove discussed possible locations for the 2003 Annual General Meeting.  Tokyo is a possible location, although there is concern whether significant numbers of participants will attend.  The last Annual General Meeting in Asia was held in Hong Kong in 1992.  Mr. Targett stated that traders should be specifically targeted, given the potential impact on revenues.  Mr. Grove stated that the Association breaks even if 400 people attend the Annual General Meeting.  Mr. James stated that many U.S. institutions have a large presence in Japan and they should be encouraged to send members.  Mr. Haedicke stated that Enron is planning on sending participants and favors the Tokyo location.</w:t>
      </w:r>
    </w:p>
    <w:p>
      <w:pPr>
        <w:pStyle w:val="Normal"/>
        <w:jc w:val="both"/>
        <w:rPr/>
      </w:pPr>
      <w:r>
        <w:rPr/>
      </w:r>
    </w:p>
    <w:p>
      <w:pPr>
        <w:pStyle w:val="Normal"/>
        <w:jc w:val="both"/>
        <w:rPr/>
      </w:pPr>
      <w:r>
        <w:rPr/>
        <w:t>Mr. Grove also mentioned that there is a Strategic Planning Session scheduled for May 16-17, 2001 in Kyoto, Japan.  Mr. Grove also noted the upcoming Board meetings:  January 18 (London); April 4-5 (Washington, D.C.); and May 16-17 (Kyoto, Japan).</w:t>
      </w:r>
    </w:p>
    <w:p>
      <w:pPr>
        <w:pStyle w:val="Normal"/>
        <w:jc w:val="both"/>
        <w:rPr/>
      </w:pPr>
      <w:r>
        <w:rPr/>
      </w:r>
    </w:p>
    <w:p>
      <w:pPr>
        <w:pStyle w:val="Normal"/>
        <w:jc w:val="both"/>
        <w:rPr/>
      </w:pPr>
      <w:r>
        <w:rPr/>
        <w:t>Mr. Pickel also mentioned that he has asked members whether there is an interest in establishing a Credit Derivatives Market Practices Committee.  The Board expressed support for the idea.</w:t>
      </w:r>
    </w:p>
    <w:p>
      <w:pPr>
        <w:pStyle w:val="Normal"/>
        <w:jc w:val="both"/>
        <w:rPr/>
      </w:pPr>
      <w:r>
        <w:rPr/>
      </w:r>
    </w:p>
    <w:p>
      <w:pPr>
        <w:pStyle w:val="Heading1"/>
        <w:ind w:hanging="0" w:start="0"/>
        <w:rPr/>
      </w:pPr>
      <w:r>
        <w:rPr/>
        <w:t>Singapore Office</w:t>
      </w:r>
    </w:p>
    <w:p>
      <w:pPr>
        <w:pStyle w:val="Normal"/>
        <w:jc w:val="both"/>
        <w:rPr/>
      </w:pPr>
      <w:r>
        <w:rPr/>
      </w:r>
    </w:p>
    <w:p>
      <w:pPr>
        <w:pStyle w:val="Normal"/>
        <w:jc w:val="both"/>
        <w:rPr/>
      </w:pPr>
      <w:r>
        <w:rPr/>
        <w:t>Ms. Papesch stated that the Singapore Office opened on October 23, 2000 and hosted a successful cocktail event.  Nellie Lim was hired to serve as an office administrator for the Singapore Office.</w:t>
      </w:r>
    </w:p>
    <w:p>
      <w:pPr>
        <w:pStyle w:val="Normal"/>
        <w:jc w:val="both"/>
        <w:rPr/>
      </w:pPr>
      <w:r>
        <w:rPr/>
      </w:r>
    </w:p>
    <w:p>
      <w:pPr>
        <w:pStyle w:val="Normal"/>
        <w:jc w:val="both"/>
        <w:rPr/>
      </w:pPr>
      <w:r>
        <w:rPr/>
        <w:t xml:space="preserve">Ms. Papesch stated that her objective is the continuation of the two Steering Committees and the Legal and Regulatory Committees.  She is contemplating the establishment of a collateral committee, a risk management committee and an operations committee. Ms. Papesch stated that education was a big issue and priority would be given to that initiative.  </w:t>
      </w:r>
    </w:p>
    <w:p>
      <w:pPr>
        <w:pStyle w:val="Normal"/>
        <w:jc w:val="both"/>
        <w:rPr/>
      </w:pPr>
      <w:r>
        <w:rPr/>
      </w:r>
    </w:p>
    <w:p>
      <w:pPr>
        <w:pStyle w:val="Normal"/>
        <w:jc w:val="both"/>
        <w:rPr/>
      </w:pPr>
      <w:r>
        <w:rPr/>
        <w:t>Ms. Papesch stated that a Regulators’ Forum, similar to that previously sponsored by the Association, had been requested by members.  She stated that there is a risk of spreading resources too thinly, and she will make an assessment over the next two months as to what is needed.</w:t>
      </w:r>
    </w:p>
    <w:p>
      <w:pPr>
        <w:pStyle w:val="Normal"/>
        <w:jc w:val="both"/>
        <w:rPr/>
      </w:pPr>
      <w:r>
        <w:rPr/>
      </w:r>
    </w:p>
    <w:p>
      <w:pPr>
        <w:pStyle w:val="Normal"/>
        <w:jc w:val="both"/>
        <w:rPr/>
      </w:pPr>
      <w:r>
        <w:rPr/>
        <w:t>Mr. Koshikawa inquired what was planned with respect to China.  Ms. Papesch has planned meetings in Beijing in February 2001.</w:t>
      </w:r>
    </w:p>
    <w:p>
      <w:pPr>
        <w:pStyle w:val="Normal"/>
        <w:jc w:val="both"/>
        <w:rPr/>
      </w:pPr>
      <w:r>
        <w:rPr/>
      </w:r>
    </w:p>
    <w:p>
      <w:pPr>
        <w:pStyle w:val="Heading1"/>
        <w:ind w:hanging="0" w:start="0"/>
        <w:rPr/>
      </w:pPr>
      <w:r>
        <w:rPr/>
        <w:t>U.K. Securities Institute Proposal</w:t>
      </w:r>
    </w:p>
    <w:p>
      <w:pPr>
        <w:pStyle w:val="Normal"/>
        <w:jc w:val="both"/>
        <w:rPr/>
      </w:pPr>
      <w:r>
        <w:rPr/>
      </w:r>
    </w:p>
    <w:p>
      <w:pPr>
        <w:pStyle w:val="Normal"/>
        <w:jc w:val="both"/>
        <w:rPr/>
      </w:pPr>
      <w:r>
        <w:rPr/>
        <w:t>Ms. Ainslie summarized the materials located at Tab 10 of the Board Book.  She stated that the major issues to consider with respect to the U.K. Securities Institute’s proposal were:  (i) how would the Association monitor the training, its quality, and the use of the Association’s materials; (ii) how would the Association afford the resource time; and (iii) the impact on the existing Association conferences covering similar topics.</w:t>
      </w:r>
    </w:p>
    <w:p>
      <w:pPr>
        <w:pStyle w:val="Normal"/>
        <w:jc w:val="both"/>
        <w:rPr/>
      </w:pPr>
      <w:r>
        <w:rPr/>
      </w:r>
    </w:p>
    <w:p>
      <w:pPr>
        <w:pStyle w:val="Normal"/>
        <w:jc w:val="both"/>
        <w:rPr/>
      </w:pPr>
      <w:r>
        <w:rPr/>
        <w:t>It was stated that the proposal is probably a natural extension of the Association’s commitment to market education. The issue of what benefits the Association derives from its association with the U.K. Securities Institute was raised, as well as an inquiry on any financial impact. Ms. Ainslie was asked to discuss these issues further with the U.K. Securities Institute.</w:t>
      </w:r>
    </w:p>
    <w:p>
      <w:pPr>
        <w:pStyle w:val="Normal"/>
        <w:jc w:val="both"/>
        <w:rPr/>
      </w:pPr>
      <w:r>
        <w:rPr/>
      </w:r>
    </w:p>
    <w:p>
      <w:pPr>
        <w:pStyle w:val="Normal"/>
        <w:jc w:val="both"/>
        <w:rPr/>
      </w:pPr>
      <w:r>
        <w:rPr/>
        <w:t>The opinion was expressed that there should not be linkages with third parties, but linkages with other respected trade organizations was possible.  The issue of intellectual property issues was also suggested for consideration.  It was agreed to take those issues up at the 2001 Strategic Planning Session.</w:t>
      </w:r>
    </w:p>
    <w:p>
      <w:pPr>
        <w:pStyle w:val="Normal"/>
        <w:jc w:val="both"/>
        <w:rPr/>
      </w:pPr>
      <w:r>
        <w:rPr/>
      </w:r>
    </w:p>
    <w:p>
      <w:pPr>
        <w:pStyle w:val="Heading1"/>
        <w:ind w:hanging="0" w:start="0"/>
        <w:rPr/>
      </w:pPr>
      <w:r>
        <w:rPr/>
        <w:t>European Accounting Committee</w:t>
      </w:r>
    </w:p>
    <w:p>
      <w:pPr>
        <w:pStyle w:val="Normal"/>
        <w:jc w:val="both"/>
        <w:rPr/>
      </w:pPr>
      <w:r>
        <w:rPr/>
      </w:r>
    </w:p>
    <w:p>
      <w:pPr>
        <w:pStyle w:val="Normal"/>
        <w:jc w:val="both"/>
        <w:rPr/>
      </w:pPr>
      <w:r>
        <w:rPr/>
        <w:t>Mr. Grove stated that the Association’s Accounting Committee wanted to encourage more accounting professionals at member firms to become involved in the European Accounting Committee’s work.</w:t>
      </w:r>
    </w:p>
    <w:p>
      <w:pPr>
        <w:pStyle w:val="Normal"/>
        <w:jc w:val="both"/>
        <w:rPr/>
      </w:pPr>
      <w:r>
        <w:rPr/>
      </w:r>
    </w:p>
    <w:p>
      <w:pPr>
        <w:pStyle w:val="Heading1"/>
        <w:ind w:hanging="0" w:start="0"/>
        <w:rPr/>
      </w:pPr>
      <w:r>
        <w:rPr/>
        <w:t>Flash Survey</w:t>
      </w:r>
    </w:p>
    <w:p>
      <w:pPr>
        <w:pStyle w:val="Normal"/>
        <w:jc w:val="both"/>
        <w:rPr/>
      </w:pPr>
      <w:r>
        <w:rPr/>
      </w:r>
    </w:p>
    <w:p>
      <w:pPr>
        <w:pStyle w:val="Normal"/>
        <w:jc w:val="both"/>
        <w:rPr/>
      </w:pPr>
      <w:r>
        <w:rPr/>
        <w:t>Ms. Ainslie stated that the Bank for International Settlement (“BIS”) produces a survey that focuses on currencies and commodities.  The BIS’s survey is broader than the Association’s Flash Survey.  The Association’s Flash Survey has no interpolation of results or narrative.  The cost of the Association’s Flash Survey, prepared twice each year, is $38,000 total.</w:t>
      </w:r>
    </w:p>
    <w:p>
      <w:pPr>
        <w:pStyle w:val="Normal"/>
        <w:jc w:val="both"/>
        <w:rPr/>
      </w:pPr>
      <w:r>
        <w:rPr/>
      </w:r>
    </w:p>
    <w:p>
      <w:pPr>
        <w:pStyle w:val="Normal"/>
        <w:jc w:val="both"/>
        <w:rPr/>
      </w:pPr>
      <w:r>
        <w:rPr/>
        <w:t xml:space="preserve">It was stated that if data and notional numbers could not be obtained from Arthur Andersen, the preparer of the bi-annual survey, more quickly after the end of a period, then perhaps the survey should not be done.  It was also noted that the reason Arthur Andersen was initially chosen was because of their ability to maintain confidentiality as it relates to the notional numbers, and that Swaps Monitor was less likely to agree to this.  It was stated that if all the Board-represented institutions responded, that would be sufficient.  </w:t>
      </w:r>
    </w:p>
    <w:p>
      <w:pPr>
        <w:pStyle w:val="Normal"/>
        <w:jc w:val="both"/>
        <w:rPr/>
      </w:pPr>
      <w:r>
        <w:rPr/>
      </w:r>
    </w:p>
    <w:p>
      <w:pPr>
        <w:pStyle w:val="Normal"/>
        <w:jc w:val="both"/>
        <w:rPr/>
      </w:pPr>
      <w:r>
        <w:rPr/>
        <w:t>It was agreed that the survey should be published as soon as possible after mid-year 2001 and year-end 2001.  Consideration will be given to expanding the survey to include other products, such as credit derivatives and equity derivatives.</w:t>
      </w:r>
    </w:p>
    <w:p>
      <w:pPr>
        <w:pStyle w:val="Normal"/>
        <w:jc w:val="both"/>
        <w:rPr/>
      </w:pPr>
      <w:r>
        <w:rPr/>
      </w:r>
    </w:p>
    <w:p>
      <w:pPr>
        <w:pStyle w:val="Heading1"/>
        <w:ind w:hanging="0" w:start="0"/>
        <w:rPr/>
      </w:pPr>
      <w:r>
        <w:rPr/>
        <w:t>FpML</w:t>
      </w:r>
    </w:p>
    <w:p>
      <w:pPr>
        <w:pStyle w:val="Normal"/>
        <w:jc w:val="both"/>
        <w:rPr/>
      </w:pPr>
      <w:r>
        <w:rPr/>
      </w:r>
    </w:p>
    <w:p>
      <w:pPr>
        <w:pStyle w:val="Normal"/>
        <w:jc w:val="both"/>
        <w:rPr/>
      </w:pPr>
      <w:r>
        <w:rPr/>
        <w:t xml:space="preserve">Mr. Kissane asked the Board to consider a proposal from FpML.  Mr. Kissane stated that FpML’s current efforts are focused on fixed income derivatives products.  FpML allows one system to talk to another system.  Mr. Kissane proposed that the Association approach FpML to determine if the Association’s activities could be integrated with FpML.  </w:t>
      </w:r>
    </w:p>
    <w:p>
      <w:pPr>
        <w:pStyle w:val="Normal"/>
        <w:jc w:val="both"/>
        <w:rPr/>
      </w:pPr>
      <w:r>
        <w:rPr/>
      </w:r>
    </w:p>
    <w:p>
      <w:pPr>
        <w:pStyle w:val="Normal"/>
        <w:jc w:val="both"/>
        <w:rPr/>
      </w:pPr>
      <w:r>
        <w:rPr/>
        <w:t>Mr. Grove inquired as to what Association staff would be required.  Mr. Grove also inquired whether it was clear that FpML would be the market leading choice.</w:t>
      </w:r>
    </w:p>
    <w:p>
      <w:pPr>
        <w:pStyle w:val="Normal"/>
        <w:jc w:val="both"/>
        <w:rPr/>
      </w:pPr>
      <w:r>
        <w:rPr/>
      </w:r>
    </w:p>
    <w:p>
      <w:pPr>
        <w:pStyle w:val="Normal"/>
        <w:jc w:val="both"/>
        <w:rPr/>
      </w:pPr>
      <w:r>
        <w:rPr/>
        <w:t>Mr. Kissane stated that FpML would not be a free service and that staff resources of the Association would need to be considered. Mr. Bailey stated that the possibility that the market may not accept the FpML solution should also be considered.  It was also stated that FpML should approach the Association, rather than the Association approaching FpML.</w:t>
      </w:r>
    </w:p>
    <w:p>
      <w:pPr>
        <w:pStyle w:val="Normal"/>
        <w:jc w:val="both"/>
        <w:rPr/>
      </w:pPr>
      <w:r>
        <w:rPr/>
      </w:r>
    </w:p>
    <w:p>
      <w:pPr>
        <w:pStyle w:val="Normal"/>
        <w:jc w:val="both"/>
        <w:rPr/>
      </w:pPr>
      <w:r>
        <w:rPr/>
        <w:t>It was agreed that a small group of Directors would prepare a brief study of the issue in advance of the next Board meeting on January 18, 2001.  Mr. Bailey, Mr. Bongartz-Renaud, Mr. del Missier, Ms. Genova, Mr. James, Ms. Mandell, Mr. Moulds, Mr. Oakley Mr. Pickel and Mr. Steve volunteered to prepare this brief study.</w:t>
      </w:r>
    </w:p>
    <w:p>
      <w:pPr>
        <w:pStyle w:val="Normal"/>
        <w:jc w:val="both"/>
        <w:rPr/>
      </w:pPr>
      <w:r>
        <w:rPr/>
      </w:r>
    </w:p>
    <w:p>
      <w:pPr>
        <w:pStyle w:val="Heading1"/>
        <w:ind w:hanging="0" w:start="0"/>
        <w:rPr/>
      </w:pPr>
      <w:r>
        <w:rPr/>
        <w:t>Trading Practice</w:t>
      </w:r>
    </w:p>
    <w:p>
      <w:pPr>
        <w:pStyle w:val="Normal"/>
        <w:jc w:val="both"/>
        <w:rPr/>
      </w:pPr>
      <w:r>
        <w:rPr/>
      </w:r>
    </w:p>
    <w:p>
      <w:pPr>
        <w:pStyle w:val="Normal"/>
        <w:jc w:val="both"/>
        <w:rPr/>
      </w:pPr>
      <w:r>
        <w:rPr/>
        <w:t>Mr. Moulds stated that he is attempting to get a senior group of traders to streamline swaptions, but so far there has been weak interest in the effort.  Mr. Moulds stated that the support of people on the trading desks would be useful.</w:t>
      </w:r>
    </w:p>
    <w:p>
      <w:pPr>
        <w:pStyle w:val="Normal"/>
        <w:jc w:val="both"/>
        <w:rPr/>
      </w:pPr>
      <w:r>
        <w:rPr/>
      </w:r>
    </w:p>
    <w:p>
      <w:pPr>
        <w:pStyle w:val="Heading1"/>
        <w:ind w:hanging="0" w:start="0"/>
        <w:rPr/>
      </w:pPr>
      <w:r>
        <w:rPr/>
        <w:t>Financial Forecast for 2000</w:t>
      </w:r>
    </w:p>
    <w:p>
      <w:pPr>
        <w:pStyle w:val="Normal"/>
        <w:jc w:val="both"/>
        <w:rPr/>
      </w:pPr>
      <w:r>
        <w:rPr/>
      </w:r>
    </w:p>
    <w:p>
      <w:pPr>
        <w:pStyle w:val="Normal"/>
        <w:jc w:val="both"/>
        <w:rPr/>
      </w:pPr>
      <w:r>
        <w:rPr/>
        <w:t>Mr. Grove stated that current projections are for a $500,000 surplus for 2000.  Mr. Grove highlighted the following:  (i) dues revenues are 38% over budget, net conference revenues are 27% over budget; interest revenue is 16% over budget; documentation is $70,000 over budget; and North American regulatory efforts are $170,000 over budget; and (ii) net publications revenue is $245,000 below budget, Protocol revenue is $225,000 below budget, payroll is slightly under budget, collateral opinions are $240,000 below budget and netting opinions are $90,000 below budget.</w:t>
      </w:r>
    </w:p>
    <w:p>
      <w:pPr>
        <w:pStyle w:val="Normal"/>
        <w:jc w:val="both"/>
        <w:rPr/>
      </w:pPr>
      <w:r>
        <w:rPr/>
      </w:r>
    </w:p>
    <w:p>
      <w:pPr>
        <w:pStyle w:val="Heading1"/>
        <w:ind w:hanging="0" w:start="0"/>
        <w:rPr/>
      </w:pPr>
      <w:r>
        <w:rPr/>
        <w:t>2001 Budget</w:t>
      </w:r>
    </w:p>
    <w:p>
      <w:pPr>
        <w:pStyle w:val="Normal"/>
        <w:jc w:val="both"/>
        <w:rPr/>
      </w:pPr>
      <w:r>
        <w:rPr/>
      </w:r>
    </w:p>
    <w:p>
      <w:pPr>
        <w:pStyle w:val="Normal"/>
        <w:jc w:val="both"/>
        <w:rPr/>
      </w:pPr>
      <w:r>
        <w:rPr/>
        <w:t>A projected $341,000 budget surplus exists for the 2001 budget.  It is anticipated that there will be conferences in several new areas and these may be less profitable.  Mr. Grove stated that $125,000 is budgeted for reconstruction of the New York office.  Mr. Grove also stated that three new staff members will be hired and benefit plans will be moved to market rates.  Mr. Grove also stated that significant spending on technology is anticipated.   The Board affirmed the following resolution:</w:t>
      </w:r>
    </w:p>
    <w:p>
      <w:pPr>
        <w:pStyle w:val="Normal"/>
        <w:jc w:val="both"/>
        <w:rPr/>
      </w:pPr>
      <w:r>
        <w:rPr/>
      </w:r>
    </w:p>
    <w:p>
      <w:pPr>
        <w:pStyle w:val="Normal"/>
        <w:jc w:val="both"/>
        <w:rPr/>
      </w:pPr>
      <w:r>
        <w:rPr/>
        <w:tab/>
        <w:t>RESOLVED, that the 2001 Association budget be, and hereby is, approved.</w:t>
      </w:r>
    </w:p>
    <w:p>
      <w:pPr>
        <w:pStyle w:val="Normal"/>
        <w:jc w:val="both"/>
        <w:rPr/>
      </w:pPr>
      <w:r>
        <w:rPr/>
      </w:r>
    </w:p>
    <w:p>
      <w:pPr>
        <w:pStyle w:val="Normal"/>
        <w:jc w:val="both"/>
        <w:rPr/>
      </w:pPr>
      <w:r>
        <w:rPr/>
        <w:t>Board members were asked to determine if their institutions could assist the Association in its technology acquisitions by obtaining a volume discount.</w:t>
      </w:r>
    </w:p>
    <w:p>
      <w:pPr>
        <w:pStyle w:val="Normal"/>
        <w:jc w:val="both"/>
        <w:rPr/>
      </w:pPr>
      <w:r>
        <w:rPr/>
      </w:r>
    </w:p>
    <w:p>
      <w:pPr>
        <w:pStyle w:val="Normal"/>
        <w:jc w:val="both"/>
        <w:rPr>
          <w:b/>
          <w:bCs/>
          <w:u w:val="single"/>
        </w:rPr>
      </w:pPr>
      <w:r>
        <w:rPr>
          <w:b/>
          <w:bCs/>
          <w:u w:val="single"/>
        </w:rPr>
        <w:t>401(k) Plan</w:t>
      </w:r>
    </w:p>
    <w:p>
      <w:pPr>
        <w:pStyle w:val="Normal"/>
        <w:jc w:val="both"/>
        <w:rPr/>
      </w:pPr>
      <w:r>
        <w:rPr/>
      </w:r>
    </w:p>
    <w:p>
      <w:pPr>
        <w:pStyle w:val="Normal"/>
        <w:jc w:val="both"/>
        <w:rPr/>
      </w:pPr>
      <w:r>
        <w:rPr/>
        <w:t>The Board approved the resolution relating to the increase from $2,000 to $4,000 for matching employee contributions.  In addition, the Board approved a pension contribution of three percent for each Association employee in London.  The Board approved the payment of commuting costs for Association employees in Tokyo.  The Board generally discussed the improvement of benefit plans to match market rates.</w:t>
      </w:r>
    </w:p>
    <w:p>
      <w:pPr>
        <w:pStyle w:val="Normal"/>
        <w:jc w:val="both"/>
        <w:rPr/>
      </w:pPr>
      <w:r>
        <w:rPr/>
      </w:r>
    </w:p>
    <w:p>
      <w:pPr>
        <w:pStyle w:val="Heading1"/>
        <w:ind w:hanging="0" w:start="0"/>
        <w:rPr/>
      </w:pPr>
      <w:r>
        <w:rPr/>
        <w:t>Salaries</w:t>
      </w:r>
    </w:p>
    <w:p>
      <w:pPr>
        <w:pStyle w:val="Normal"/>
        <w:jc w:val="both"/>
        <w:rPr/>
      </w:pPr>
      <w:r>
        <w:rPr/>
      </w:r>
    </w:p>
    <w:p>
      <w:pPr>
        <w:pStyle w:val="Normal"/>
        <w:jc w:val="both"/>
        <w:rPr/>
      </w:pPr>
      <w:r>
        <w:rPr/>
        <w:t>The salary figure in the budget was approved by the Board.  There was general discussion on accessing comparative data on market rates for Association staff positions to ensure the Association is matching market rates.  The possibility of the establishment of a Compensation Committee was also discussed.</w:t>
      </w:r>
    </w:p>
    <w:p>
      <w:pPr>
        <w:pStyle w:val="Normal"/>
        <w:jc w:val="both"/>
        <w:rPr/>
      </w:pPr>
      <w:r>
        <w:rPr/>
      </w:r>
    </w:p>
    <w:p>
      <w:pPr>
        <w:pStyle w:val="Heading1"/>
        <w:ind w:hanging="0" w:start="0"/>
        <w:rPr/>
      </w:pPr>
      <w:r>
        <w:rPr/>
        <w:t>Bonus Pool</w:t>
      </w:r>
    </w:p>
    <w:p>
      <w:pPr>
        <w:pStyle w:val="Normal"/>
        <w:jc w:val="both"/>
        <w:rPr/>
      </w:pPr>
      <w:r>
        <w:rPr/>
      </w:r>
    </w:p>
    <w:p>
      <w:pPr>
        <w:pStyle w:val="Normal"/>
        <w:jc w:val="both"/>
        <w:rPr/>
      </w:pPr>
      <w:r>
        <w:rPr/>
        <w:t>Mr. Grove reported that the 2000 bonus pool was budgeted for $1,000,000 but the Board approved an increase in the 2000 bonus pool to $1,170,000.</w:t>
      </w:r>
    </w:p>
    <w:p>
      <w:pPr>
        <w:pStyle w:val="Normal"/>
        <w:jc w:val="both"/>
        <w:rPr/>
      </w:pPr>
      <w:r>
        <w:rPr/>
      </w:r>
    </w:p>
    <w:p>
      <w:pPr>
        <w:pStyle w:val="Heading1"/>
        <w:ind w:hanging="0" w:start="0"/>
        <w:rPr/>
      </w:pPr>
      <w:r>
        <w:rPr/>
        <w:t>Bonus for Executive Director</w:t>
      </w:r>
    </w:p>
    <w:p>
      <w:pPr>
        <w:pStyle w:val="Normal"/>
        <w:jc w:val="both"/>
        <w:rPr/>
      </w:pPr>
      <w:r>
        <w:rPr/>
      </w:r>
    </w:p>
    <w:p>
      <w:pPr>
        <w:pStyle w:val="Normal"/>
        <w:jc w:val="both"/>
        <w:rPr/>
      </w:pPr>
      <w:r>
        <w:rPr/>
        <w:t>A decision was made by the Board on Mr. Grove’s 2000 bonus.</w:t>
      </w:r>
    </w:p>
    <w:p>
      <w:pPr>
        <w:pStyle w:val="Normal"/>
        <w:jc w:val="both"/>
        <w:rPr/>
      </w:pPr>
      <w:r>
        <w:rPr/>
      </w:r>
    </w:p>
    <w:p>
      <w:pPr>
        <w:pStyle w:val="Heading1"/>
        <w:ind w:hanging="0" w:start="0"/>
        <w:rPr/>
      </w:pPr>
      <w:r>
        <w:rPr/>
        <w:t>Succession Committee</w:t>
      </w:r>
    </w:p>
    <w:p>
      <w:pPr>
        <w:pStyle w:val="Normal"/>
        <w:jc w:val="both"/>
        <w:rPr/>
      </w:pPr>
      <w:r>
        <w:rPr/>
      </w:r>
    </w:p>
    <w:p>
      <w:pPr>
        <w:pStyle w:val="Normal"/>
        <w:jc w:val="both"/>
        <w:rPr/>
      </w:pPr>
      <w:r>
        <w:rPr/>
        <w:t>Mr. Bailey, Chair of the Succession Committee, announced that the Succession Committee unanimously recommended Mr. Pickel to be the Chief Executive Officer-Designate.  Mr. Bailey, seconded by Mr. Grove, made a motion to appoint Mr. Pickel as the Chief Executive Officer – Designate and the motion was unanimously approved.</w:t>
      </w:r>
    </w:p>
    <w:p>
      <w:pPr>
        <w:pStyle w:val="Normal"/>
        <w:jc w:val="both"/>
        <w:rPr/>
      </w:pPr>
      <w:r>
        <w:rPr/>
      </w:r>
    </w:p>
    <w:p>
      <w:pPr>
        <w:pStyle w:val="Normal"/>
        <w:jc w:val="both"/>
        <w:rPr/>
      </w:pPr>
      <w:r>
        <w:rPr/>
        <w:t>The meeting was adjourned at 6:00 p.m.</w:t>
      </w:r>
    </w:p>
    <w:p>
      <w:pPr>
        <w:pStyle w:val="Normal"/>
        <w:jc w:val="both"/>
        <w:rPr/>
      </w:pPr>
      <w:r>
        <w:rPr/>
      </w:r>
    </w:p>
    <w:p>
      <w:pPr>
        <w:pStyle w:val="Normal"/>
        <w:jc w:val="both"/>
        <w:rPr/>
      </w:pPr>
      <w:r>
        <w:rPr/>
      </w:r>
    </w:p>
    <w:p>
      <w:pPr>
        <w:pStyle w:val="Normal"/>
        <w:jc w:val="both"/>
        <w:rPr/>
      </w:pPr>
      <w:r>
        <w:rPr/>
        <w:tab/>
        <w:tab/>
        <w:tab/>
        <w:tab/>
        <w:tab/>
        <w:tab/>
        <w:t>___________________________________</w:t>
      </w:r>
    </w:p>
    <w:p>
      <w:pPr>
        <w:pStyle w:val="Normal"/>
        <w:jc w:val="both"/>
        <w:rPr/>
      </w:pPr>
      <w:r>
        <w:rPr/>
        <w:tab/>
        <w:tab/>
        <w:tab/>
        <w:tab/>
        <w:tab/>
        <w:tab/>
        <w:t>Secretary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bCs/>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style>
  <w:style w:type="paragraph" w:styleId="BodyTextIndent2">
    <w:name w:val="Body Text Indent 2"/>
    <w:basedOn w:val="Normal"/>
    <w:qFormat/>
    <w:pPr>
      <w:ind w:firstLine="720" w:start="0" w:end="0"/>
      <w:jc w:val="both"/>
    </w:pPr>
    <w:rPr/>
  </w:style>
  <w:style w:type="paragraph" w:styleId="BodyText3">
    <w:name w:val="Body Text 3"/>
    <w:basedOn w:val="Normal"/>
    <w:qFormat/>
    <w:pPr>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2000-11-16T13:52:00Z</dcterms:created>
  <dc:creator>VALUED SONY CUSTOMER</dc:creator>
  <dc:description/>
  <dc:language>en-CA</dc:language>
  <cp:lastModifiedBy>VALUED SONY CUSTOMER</cp:lastModifiedBy>
  <cp:lastPrinted>2000-11-16T13:15:00Z</cp:lastPrinted>
  <dcterms:modified xsi:type="dcterms:W3CDTF">2000-12-06T12:26:00Z</dcterms:modified>
  <cp:revision>29</cp:revision>
  <dc:subject/>
  <dc:title>Draft – November 16, 2000</dc:title>
</cp:coreProperties>
</file>