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 INFORMATION PROVIDED TO THE BOARD OF DIRECTORS OF EACH OF MARINER ENERGY, INC., MARINER HOLDINGS, INC. AND MARINER ENERGY LLC – PLEASE DO NOT COPY OR DISTRIBUTE FURTHER</w:t>
      </w:r>
    </w:p>
    <w:p>
      <w:pPr>
        <w:pStyle w:val="Heading"/>
        <w:rPr/>
      </w:pPr>
      <w:r>
        <w:rPr/>
      </w:r>
    </w:p>
    <w:p>
      <w:pPr>
        <w:pStyle w:val="Normal"/>
        <w:jc w:val="both"/>
        <w:rPr>
          <w:rFonts w:ascii="Garamond" w:hAnsi="Garamond" w:cs="Garamond"/>
          <w:b/>
          <w:sz w:val="24"/>
        </w:rPr>
      </w:pPr>
      <w:r>
        <w:rPr>
          <w:rFonts w:cs="Garamond" w:ascii="Garamond" w:hAnsi="Garamond"/>
          <w:b/>
          <w:sz w:val="24"/>
        </w:rPr>
        <w:t>December 4, 2001</w:t>
      </w:r>
    </w:p>
    <w:p>
      <w:pPr>
        <w:pStyle w:val="Normal"/>
        <w:jc w:val="both"/>
        <w:rPr>
          <w:rFonts w:ascii="Garamond" w:hAnsi="Garamond" w:cs="Garamond"/>
          <w:b/>
          <w:sz w:val="24"/>
        </w:rPr>
      </w:pPr>
      <w:r>
        <w:rPr>
          <w:rFonts w:cs="Garamond" w:ascii="Garamond" w:hAnsi="Garamond"/>
          <w:b/>
          <w:sz w:val="24"/>
        </w:rPr>
      </w:r>
    </w:p>
    <w:p>
      <w:pPr>
        <w:pStyle w:val="Normal"/>
        <w:jc w:val="both"/>
        <w:rPr>
          <w:rFonts w:ascii="Garamond" w:hAnsi="Garamond" w:cs="Garamond"/>
          <w:b/>
          <w:sz w:val="24"/>
        </w:rPr>
      </w:pPr>
      <w:r>
        <w:rPr>
          <w:rFonts w:cs="Garamond" w:ascii="Garamond" w:hAnsi="Garamond"/>
          <w:b/>
          <w:sz w:val="24"/>
        </w:rPr>
        <w:t>To Members of the Board of Mariner Energy, Inc., Mariner Holdings, Inc. and Mariner Energy LLC:</w:t>
      </w:r>
    </w:p>
    <w:p>
      <w:pPr>
        <w:pStyle w:val="Normal"/>
        <w:jc w:val="both"/>
        <w:rPr>
          <w:rFonts w:ascii="Garamond" w:hAnsi="Garamond" w:cs="Garamond"/>
          <w:b/>
          <w:sz w:val="24"/>
        </w:rPr>
      </w:pPr>
      <w:r>
        <w:rPr>
          <w:rFonts w:cs="Garamond" w:ascii="Garamond" w:hAnsi="Garamond"/>
          <w:b/>
          <w:sz w:val="24"/>
        </w:rPr>
      </w:r>
    </w:p>
    <w:p>
      <w:pPr>
        <w:pStyle w:val="Normal"/>
        <w:jc w:val="both"/>
        <w:rPr>
          <w:rFonts w:ascii="Garamond" w:hAnsi="Garamond" w:cs="Garamond"/>
          <w:sz w:val="24"/>
        </w:rPr>
      </w:pPr>
      <w:r>
        <w:rPr>
          <w:rFonts w:cs="Garamond" w:ascii="Garamond" w:hAnsi="Garamond"/>
          <w:sz w:val="24"/>
        </w:rPr>
        <w:t>The purpose of this letter is to inform the board of recent developments and to explain the rationale for the resolutions to be proposed at the meeting planned for 2:00 this afternoon.</w:t>
      </w:r>
    </w:p>
    <w:p>
      <w:pPr>
        <w:pStyle w:val="Normal"/>
        <w:jc w:val="both"/>
        <w:rPr>
          <w:rFonts w:ascii="Garamond" w:hAnsi="Garamond" w:eastAsia="Garamond" w:cs="Garamond"/>
          <w:sz w:val="24"/>
        </w:rPr>
      </w:pPr>
      <w:r>
        <w:rPr>
          <w:rFonts w:eastAsia="Garamond" w:cs="Garamond" w:ascii="Garamond" w:hAnsi="Garamond"/>
          <w:sz w:val="24"/>
        </w:rPr>
        <w:t xml:space="preserve"> </w:t>
      </w:r>
    </w:p>
    <w:p>
      <w:pPr>
        <w:pStyle w:val="Normal"/>
        <w:jc w:val="both"/>
        <w:rPr>
          <w:rFonts w:ascii="Garamond" w:hAnsi="Garamond" w:cs="Garamond"/>
          <w:b/>
          <w:sz w:val="24"/>
        </w:rPr>
      </w:pPr>
      <w:r>
        <w:rPr>
          <w:rFonts w:cs="Garamond" w:ascii="Garamond" w:hAnsi="Garamond"/>
          <w:b/>
          <w:sz w:val="24"/>
        </w:rPr>
        <w:t>Recent Positive Developments:</w:t>
      </w:r>
    </w:p>
    <w:p>
      <w:pPr>
        <w:pStyle w:val="Normal"/>
        <w:jc w:val="both"/>
        <w:rPr>
          <w:rFonts w:ascii="Garamond" w:hAnsi="Garamond" w:cs="Garamond"/>
          <w:b/>
          <w:sz w:val="24"/>
        </w:rPr>
      </w:pPr>
      <w:r>
        <w:rPr>
          <w:rFonts w:cs="Garamond" w:ascii="Garamond" w:hAnsi="Garamond"/>
          <w:b/>
          <w:sz w:val="24"/>
        </w:rPr>
      </w:r>
    </w:p>
    <w:p>
      <w:pPr>
        <w:pStyle w:val="Normal"/>
        <w:numPr>
          <w:ilvl w:val="0"/>
          <w:numId w:val="8"/>
        </w:numPr>
        <w:jc w:val="both"/>
        <w:rPr>
          <w:rFonts w:ascii="Garamond" w:hAnsi="Garamond" w:cs="Garamond"/>
          <w:sz w:val="24"/>
        </w:rPr>
      </w:pPr>
      <w:r>
        <w:rPr>
          <w:rFonts w:cs="Garamond" w:ascii="Garamond" w:hAnsi="Garamond"/>
          <w:sz w:val="24"/>
        </w:rPr>
        <w:t>The TGS database has been purchased.</w:t>
      </w:r>
    </w:p>
    <w:p>
      <w:pPr>
        <w:pStyle w:val="Normal"/>
        <w:numPr>
          <w:ilvl w:val="0"/>
          <w:numId w:val="8"/>
        </w:numPr>
        <w:jc w:val="both"/>
        <w:rPr>
          <w:rFonts w:ascii="Garamond" w:hAnsi="Garamond" w:cs="Garamond"/>
          <w:sz w:val="24"/>
        </w:rPr>
      </w:pPr>
      <w:r>
        <w:rPr>
          <w:rFonts w:cs="Garamond" w:ascii="Garamond" w:hAnsi="Garamond"/>
          <w:sz w:val="24"/>
        </w:rPr>
        <w:t>A discovery occurred on the Roaring Fork Prospect.  An appraisal well has been drilled and appears to be successful also.  Preliminary reserve estimates are in the range of 8-10 million barrels.  Mariner’s WI = 20%</w:t>
      </w:r>
    </w:p>
    <w:p>
      <w:pPr>
        <w:pStyle w:val="Normal"/>
        <w:numPr>
          <w:ilvl w:val="0"/>
          <w:numId w:val="8"/>
        </w:numPr>
        <w:jc w:val="both"/>
        <w:rPr>
          <w:rFonts w:ascii="Garamond" w:hAnsi="Garamond" w:cs="Garamond"/>
          <w:sz w:val="24"/>
        </w:rPr>
      </w:pPr>
      <w:r>
        <w:rPr>
          <w:rFonts w:cs="Garamond" w:ascii="Garamond" w:hAnsi="Garamond"/>
          <w:sz w:val="24"/>
        </w:rPr>
        <w:t>A discovery occurred on the Swordfish Prospect.  Although the well did not encounter gas as expected, and the net pay was less than expected, the reservoir consists of high quality oil and a decision was made to drill the second well. The second well is drilling and will be down by mid-December</w:t>
      </w:r>
    </w:p>
    <w:p>
      <w:pPr>
        <w:pStyle w:val="Normal"/>
        <w:numPr>
          <w:ilvl w:val="0"/>
          <w:numId w:val="8"/>
        </w:numPr>
        <w:jc w:val="both"/>
        <w:rPr>
          <w:rFonts w:ascii="Garamond" w:hAnsi="Garamond" w:cs="Garamond"/>
          <w:sz w:val="24"/>
        </w:rPr>
      </w:pPr>
      <w:r>
        <w:rPr>
          <w:rFonts w:cs="Garamond" w:ascii="Garamond" w:hAnsi="Garamond"/>
          <w:sz w:val="24"/>
        </w:rPr>
        <w:t>Mariner is currently drilling the Piston prospect at MC 205.  We expect to have results by the end of December.  Burlington is carrying Mariner for its 50% interest in this prospect.</w:t>
      </w:r>
    </w:p>
    <w:p>
      <w:pPr>
        <w:pStyle w:val="Normal"/>
        <w:numPr>
          <w:ilvl w:val="0"/>
          <w:numId w:val="8"/>
        </w:numPr>
        <w:jc w:val="both"/>
        <w:rPr>
          <w:rFonts w:ascii="Garamond" w:hAnsi="Garamond" w:cs="Garamond"/>
          <w:sz w:val="24"/>
        </w:rPr>
      </w:pPr>
      <w:r>
        <w:rPr>
          <w:rFonts w:cs="Garamond" w:ascii="Garamond" w:hAnsi="Garamond"/>
          <w:sz w:val="24"/>
        </w:rPr>
        <w:t>The sale of Mariner’s interest in the Aconcagua Field and Canyon Express Pipeline System to Nippon and Pioneer for $51 million was closed on November 1</w:t>
      </w:r>
      <w:r>
        <w:rPr>
          <w:rFonts w:cs="Garamond" w:ascii="Garamond" w:hAnsi="Garamond"/>
          <w:sz w:val="24"/>
          <w:vertAlign w:val="superscript"/>
        </w:rPr>
        <w:t>st</w:t>
      </w:r>
      <w:r>
        <w:rPr>
          <w:rFonts w:cs="Garamond" w:ascii="Garamond" w:hAnsi="Garamond"/>
          <w:sz w:val="24"/>
        </w:rPr>
        <w:t>.</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b/>
          <w:sz w:val="24"/>
        </w:rPr>
      </w:pPr>
      <w:r>
        <w:rPr>
          <w:rFonts w:cs="Garamond" w:ascii="Garamond" w:hAnsi="Garamond"/>
          <w:b/>
          <w:sz w:val="24"/>
        </w:rPr>
        <w:t>Recent Negative Developments:</w:t>
      </w:r>
    </w:p>
    <w:p>
      <w:pPr>
        <w:pStyle w:val="Normal"/>
        <w:jc w:val="both"/>
        <w:rPr>
          <w:rFonts w:ascii="Garamond" w:hAnsi="Garamond" w:cs="Garamond"/>
          <w:b/>
          <w:sz w:val="24"/>
        </w:rPr>
      </w:pPr>
      <w:r>
        <w:rPr>
          <w:rFonts w:cs="Garamond" w:ascii="Garamond" w:hAnsi="Garamond"/>
          <w:b/>
          <w:sz w:val="24"/>
        </w:rPr>
      </w:r>
    </w:p>
    <w:p>
      <w:pPr>
        <w:pStyle w:val="Normal"/>
        <w:numPr>
          <w:ilvl w:val="0"/>
          <w:numId w:val="4"/>
        </w:numPr>
        <w:tabs>
          <w:tab w:val="clear" w:pos="720"/>
          <w:tab w:val="left" w:pos="408" w:leader="none"/>
        </w:tabs>
        <w:ind w:hanging="360" w:start="408" w:end="0"/>
        <w:jc w:val="both"/>
        <w:rPr>
          <w:rFonts w:ascii="Garamond" w:hAnsi="Garamond" w:cs="Garamond"/>
          <w:sz w:val="24"/>
        </w:rPr>
      </w:pPr>
      <w:r>
        <w:rPr>
          <w:rFonts w:cs="Garamond" w:ascii="Garamond" w:hAnsi="Garamond"/>
          <w:sz w:val="24"/>
        </w:rPr>
        <w:t>Enron’s financial condition has deteriorated to the point that it filed for bankruptcy protection on December 2.</w:t>
      </w:r>
    </w:p>
    <w:p>
      <w:pPr>
        <w:pStyle w:val="Normal"/>
        <w:numPr>
          <w:ilvl w:val="0"/>
          <w:numId w:val="4"/>
        </w:numPr>
        <w:tabs>
          <w:tab w:val="clear" w:pos="720"/>
          <w:tab w:val="left" w:pos="408" w:leader="none"/>
        </w:tabs>
        <w:ind w:hanging="360" w:start="408" w:end="0"/>
        <w:jc w:val="both"/>
        <w:rPr>
          <w:rFonts w:ascii="Garamond" w:hAnsi="Garamond" w:cs="Garamond"/>
          <w:sz w:val="24"/>
        </w:rPr>
      </w:pPr>
      <w:r>
        <w:rPr>
          <w:rFonts w:cs="Garamond" w:ascii="Garamond" w:hAnsi="Garamond"/>
          <w:sz w:val="24"/>
        </w:rPr>
        <w:t>S&amp;P has downgraded Mariner’s bonds to CCC- from B-.  Moody’s has also downgraded the bonds to Caa2 from B3.  Moody’s had previously stated that it would refrain from a downgrade until Mariner had the opportunity to present its financials on December 13</w:t>
      </w:r>
      <w:r>
        <w:rPr>
          <w:rFonts w:cs="Garamond" w:ascii="Garamond" w:hAnsi="Garamond"/>
          <w:sz w:val="24"/>
          <w:vertAlign w:val="superscript"/>
        </w:rPr>
        <w:t>th</w:t>
      </w:r>
      <w:r>
        <w:rPr>
          <w:rFonts w:cs="Garamond" w:ascii="Garamond" w:hAnsi="Garamond"/>
          <w:sz w:val="24"/>
        </w:rPr>
        <w:t xml:space="preserve">; however, as a result of the Enron bankruptcy filing, it decided to go ahead with the downgrade. </w:t>
      </w:r>
    </w:p>
    <w:p>
      <w:pPr>
        <w:pStyle w:val="Normal"/>
        <w:numPr>
          <w:ilvl w:val="0"/>
          <w:numId w:val="4"/>
        </w:numPr>
        <w:tabs>
          <w:tab w:val="clear" w:pos="720"/>
          <w:tab w:val="left" w:pos="408" w:leader="none"/>
        </w:tabs>
        <w:ind w:hanging="360" w:start="408" w:end="0"/>
        <w:jc w:val="both"/>
        <w:rPr>
          <w:rFonts w:ascii="Garamond" w:hAnsi="Garamond" w:cs="Garamond"/>
          <w:sz w:val="24"/>
        </w:rPr>
      </w:pPr>
      <w:r>
        <w:rPr>
          <w:rFonts w:cs="Garamond" w:ascii="Garamond" w:hAnsi="Garamond"/>
          <w:sz w:val="24"/>
        </w:rPr>
        <w:t xml:space="preserve">Fulbright &amp; Jaworski (“Fulbright”) recently advised Enron that it was no longer willing to abide by the understanding that it would act as Mariner’s legal counsel and not take on any claims adverse to Enron. Fulbright is unwilling to continue to represent Mariner because of the risk that Fulbright will be disqualified from handling matters adverse to Enron arising out of the bankruptcy since Mariner is an Enron affiliate.  As a result, Mariner has engaged new counsel, Andrews &amp; Kurth (“A&amp;K”), to assist the company in the bulk of the matters that were previously handled by Fulbright.  Fulbright will assist in providing an orderly transition.  A&amp;K will hereafter handle most of the matters requiring the assistance of outside counsel excepting any matters arising as a result of the Enron bankruptcy where the interests of Mariner and Enron potentially conflict. Mariner is in the process of engaging specialized bankruptcy counsel to advise it on matters where A&amp;K is unable to offer assistance because of potential conflicts of interests. </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b/>
          <w:sz w:val="24"/>
        </w:rPr>
      </w:pPr>
      <w:r>
        <w:rPr>
          <w:rFonts w:cs="Garamond" w:ascii="Garamond" w:hAnsi="Garamond"/>
          <w:b/>
          <w:sz w:val="24"/>
        </w:rPr>
        <w:t>Enron Situation:</w:t>
      </w:r>
    </w:p>
    <w:p>
      <w:pPr>
        <w:pStyle w:val="Normal"/>
        <w:jc w:val="both"/>
        <w:rPr>
          <w:rFonts w:ascii="Garamond" w:hAnsi="Garamond" w:cs="Garamond"/>
          <w:b/>
          <w:sz w:val="24"/>
        </w:rPr>
      </w:pPr>
      <w:r>
        <w:rPr>
          <w:rFonts w:cs="Garamond" w:ascii="Garamond" w:hAnsi="Garamond"/>
          <w:b/>
          <w:sz w:val="24"/>
        </w:rPr>
      </w:r>
    </w:p>
    <w:p>
      <w:pPr>
        <w:pStyle w:val="Normal"/>
        <w:jc w:val="both"/>
        <w:rPr/>
      </w:pPr>
      <w:r>
        <w:rPr>
          <w:rFonts w:cs="Garamond" w:ascii="Garamond" w:hAnsi="Garamond"/>
          <w:sz w:val="24"/>
        </w:rPr>
        <w:t>The company is continuing to ascertain all relevant information from Enron and others that is necessary to evaluate the potential effects on Mariner of the Enron bankruptcy.   Based on what we currently know, counsel to date has advised that Mariner should not be drawn into the Enron bankruptcy since Mariner is an independent, solvent company, and has recommended that Mariner continue to pursue its ongoing business affairs; this is exactly what we are doing.  Management decided not to sell gas or oil to Enron for December. The company has been paid for October production; payment for November production is due within the next two weeks. The company’s exposure to Enron for November sales is approximately $5.5 million. Additionally, the company’s financial exposure to Enron related to commodity price hedges is approximately $21 million.  Mariner issued a press release describing its exposure to Enron on December 3</w:t>
      </w:r>
      <w:r>
        <w:rPr>
          <w:rFonts w:cs="Garamond" w:ascii="Garamond" w:hAnsi="Garamond"/>
          <w:sz w:val="24"/>
          <w:vertAlign w:val="superscript"/>
        </w:rPr>
        <w:t>rd</w:t>
      </w:r>
      <w:r>
        <w:rPr>
          <w:rFonts w:cs="Garamond" w:ascii="Garamond" w:hAnsi="Garamond"/>
          <w:sz w:val="24"/>
        </w:rPr>
        <w:t>.</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b/>
          <w:sz w:val="24"/>
        </w:rPr>
      </w:pPr>
      <w:r>
        <w:rPr>
          <w:rFonts w:cs="Garamond" w:ascii="Garamond" w:hAnsi="Garamond"/>
          <w:b/>
          <w:sz w:val="24"/>
        </w:rPr>
        <w:t>Sales Process:</w:t>
      </w:r>
    </w:p>
    <w:p>
      <w:pPr>
        <w:pStyle w:val="Normal"/>
        <w:jc w:val="both"/>
        <w:rPr>
          <w:rFonts w:ascii="Garamond" w:hAnsi="Garamond" w:cs="Garamond"/>
          <w:b/>
          <w:sz w:val="24"/>
        </w:rPr>
      </w:pPr>
      <w:r>
        <w:rPr>
          <w:rFonts w:cs="Garamond" w:ascii="Garamond" w:hAnsi="Garamond"/>
          <w:b/>
          <w:sz w:val="24"/>
        </w:rPr>
      </w:r>
    </w:p>
    <w:p>
      <w:pPr>
        <w:pStyle w:val="Normal"/>
        <w:jc w:val="both"/>
        <w:rPr/>
      </w:pPr>
      <w:r>
        <w:rPr>
          <w:rFonts w:cs="Garamond" w:ascii="Garamond" w:hAnsi="Garamond"/>
          <w:sz w:val="24"/>
        </w:rPr>
        <w:t>It is very difficult for a thinly capitalized company to successfully carry out a deepwater business plan. The company’s management is in agreement that deeper pockets are needed for Mariner to thrive.  We have set up a data room for a limited number of serious companies to review Mariner’s deepwater assets.  The data room will close on December 14</w:t>
      </w:r>
      <w:r>
        <w:rPr>
          <w:rFonts w:cs="Garamond" w:ascii="Garamond" w:hAnsi="Garamond"/>
          <w:sz w:val="24"/>
          <w:vertAlign w:val="superscript"/>
        </w:rPr>
        <w:t>th</w:t>
      </w:r>
      <w:r>
        <w:rPr>
          <w:rFonts w:cs="Garamond" w:ascii="Garamond" w:hAnsi="Garamond"/>
          <w:sz w:val="24"/>
        </w:rPr>
        <w:t xml:space="preserve"> and bids will be due on December 21</w:t>
      </w:r>
      <w:r>
        <w:rPr>
          <w:rFonts w:cs="Garamond" w:ascii="Garamond" w:hAnsi="Garamond"/>
          <w:sz w:val="24"/>
          <w:vertAlign w:val="superscript"/>
        </w:rPr>
        <w:t>st</w:t>
      </w:r>
      <w:r>
        <w:rPr>
          <w:rFonts w:cs="Garamond" w:ascii="Garamond" w:hAnsi="Garamond"/>
          <w:sz w:val="24"/>
        </w:rPr>
        <w:t xml:space="preserve"> with the expectation of executing a PSA on December 27</w:t>
      </w:r>
      <w:r>
        <w:rPr>
          <w:rFonts w:cs="Garamond" w:ascii="Garamond" w:hAnsi="Garamond"/>
          <w:sz w:val="24"/>
          <w:vertAlign w:val="superscript"/>
        </w:rPr>
        <w:t>th</w:t>
      </w:r>
      <w:r>
        <w:rPr>
          <w:rFonts w:cs="Garamond" w:ascii="Garamond" w:hAnsi="Garamond"/>
          <w:sz w:val="24"/>
        </w:rPr>
        <w:t xml:space="preserve"> subject to board approval. In the event the board approves a transaction for the sale of these assets, closing will occur on January 18, 2002.  Confidentiality agreements are being executed with the prospective buyers.  A “no-solicit no-hire clause” is included through September 30, 2002 to protect Mariner from having its key employees and consultants hired by prospective bidders.   The key provisions of the proposed sale are: </w:t>
      </w:r>
    </w:p>
    <w:p>
      <w:pPr>
        <w:pStyle w:val="Normal"/>
        <w:jc w:val="both"/>
        <w:rPr>
          <w:rFonts w:ascii="Garamond" w:hAnsi="Garamond" w:cs="Garamond"/>
          <w:sz w:val="24"/>
        </w:rPr>
      </w:pPr>
      <w:r>
        <w:rPr>
          <w:rFonts w:cs="Garamond" w:ascii="Garamond" w:hAnsi="Garamond"/>
          <w:sz w:val="24"/>
        </w:rPr>
      </w:r>
    </w:p>
    <w:p>
      <w:pPr>
        <w:pStyle w:val="Normal"/>
        <w:numPr>
          <w:ilvl w:val="0"/>
          <w:numId w:val="3"/>
        </w:numPr>
        <w:jc w:val="both"/>
        <w:rPr>
          <w:rFonts w:ascii="Garamond" w:hAnsi="Garamond" w:cs="Garamond"/>
          <w:sz w:val="24"/>
        </w:rPr>
      </w:pPr>
      <w:r>
        <w:rPr>
          <w:rFonts w:cs="Garamond" w:ascii="Garamond" w:hAnsi="Garamond"/>
          <w:sz w:val="24"/>
        </w:rPr>
        <w:t>Purchase of deepwater assets effective October 1, 2001</w:t>
      </w:r>
    </w:p>
    <w:p>
      <w:pPr>
        <w:pStyle w:val="Normal"/>
        <w:numPr>
          <w:ilvl w:val="0"/>
          <w:numId w:val="5"/>
        </w:numPr>
        <w:jc w:val="both"/>
        <w:rPr>
          <w:rFonts w:ascii="Garamond" w:hAnsi="Garamond" w:cs="Garamond"/>
          <w:sz w:val="24"/>
        </w:rPr>
      </w:pPr>
      <w:r>
        <w:rPr>
          <w:rFonts w:cs="Garamond" w:ascii="Garamond" w:hAnsi="Garamond"/>
          <w:sz w:val="24"/>
        </w:rPr>
        <w:t>Assumption of deepwater obligations</w:t>
      </w:r>
    </w:p>
    <w:p>
      <w:pPr>
        <w:pStyle w:val="Normal"/>
        <w:numPr>
          <w:ilvl w:val="0"/>
          <w:numId w:val="6"/>
        </w:numPr>
        <w:jc w:val="both"/>
        <w:rPr>
          <w:rFonts w:ascii="Garamond" w:hAnsi="Garamond" w:cs="Garamond"/>
          <w:sz w:val="24"/>
        </w:rPr>
      </w:pPr>
      <w:r>
        <w:rPr>
          <w:rFonts w:cs="Garamond" w:ascii="Garamond" w:hAnsi="Garamond"/>
          <w:sz w:val="24"/>
        </w:rPr>
        <w:t xml:space="preserve">Assumption of personnel commitments </w:t>
      </w:r>
    </w:p>
    <w:p>
      <w:pPr>
        <w:pStyle w:val="Normal"/>
        <w:numPr>
          <w:ilvl w:val="0"/>
          <w:numId w:val="2"/>
        </w:numPr>
        <w:jc w:val="both"/>
        <w:rPr>
          <w:rFonts w:ascii="Garamond" w:hAnsi="Garamond" w:cs="Garamond"/>
          <w:sz w:val="24"/>
        </w:rPr>
      </w:pPr>
      <w:r>
        <w:rPr>
          <w:rFonts w:cs="Garamond" w:ascii="Garamond" w:hAnsi="Garamond"/>
          <w:sz w:val="24"/>
        </w:rPr>
        <w:t>Assumption of office space and purchase of furniture and fixtures</w:t>
      </w:r>
    </w:p>
    <w:p>
      <w:pPr>
        <w:pStyle w:val="Normal"/>
        <w:numPr>
          <w:ilvl w:val="0"/>
          <w:numId w:val="7"/>
        </w:numPr>
        <w:jc w:val="both"/>
        <w:rPr>
          <w:rFonts w:ascii="Garamond" w:hAnsi="Garamond" w:cs="Garamond"/>
          <w:sz w:val="24"/>
        </w:rPr>
      </w:pPr>
      <w:r>
        <w:rPr>
          <w:rFonts w:cs="Garamond" w:ascii="Garamond" w:hAnsi="Garamond"/>
          <w:sz w:val="24"/>
        </w:rPr>
        <w:t>Mariner retains a 1% ORRI (proportionately reduced) on undeveloped acreage</w:t>
      </w:r>
    </w:p>
    <w:p>
      <w:pPr>
        <w:pStyle w:val="Normal"/>
        <w:numPr>
          <w:ilvl w:val="0"/>
          <w:numId w:val="1"/>
        </w:numPr>
        <w:jc w:val="both"/>
        <w:rPr>
          <w:rFonts w:ascii="Garamond" w:hAnsi="Garamond" w:cs="Garamond"/>
          <w:sz w:val="24"/>
        </w:rPr>
      </w:pPr>
      <w:r>
        <w:rPr>
          <w:rFonts w:cs="Garamond" w:ascii="Garamond" w:hAnsi="Garamond"/>
          <w:sz w:val="24"/>
        </w:rPr>
        <w:t>Mariner has the right for 2 years to participate for a 12.5% working interest (proportionately reduced) in prospects developed by the Buyer in the area covered by Mariner’s TGS seismic data acquisition</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The decision to pursue this process was not made in anticipation of or in response to the Enron situation.  We will keep the board advised of our progress.</w:t>
      </w:r>
      <w:r>
        <w:br w:type="page"/>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b/>
          <w:sz w:val="24"/>
        </w:rPr>
      </w:pPr>
      <w:r>
        <w:rPr>
          <w:rFonts w:cs="Garamond" w:ascii="Garamond" w:hAnsi="Garamond"/>
          <w:b/>
          <w:sz w:val="24"/>
        </w:rPr>
        <w:t>Board Proposal:  Retention of Key Employees and Severance</w:t>
      </w:r>
    </w:p>
    <w:p>
      <w:pPr>
        <w:pStyle w:val="Normal"/>
        <w:jc w:val="both"/>
        <w:rPr>
          <w:rFonts w:ascii="Garamond" w:hAnsi="Garamond" w:cs="Garamond"/>
          <w:b/>
          <w:sz w:val="24"/>
        </w:rPr>
      </w:pPr>
      <w:r>
        <w:rPr>
          <w:rFonts w:cs="Garamond" w:ascii="Garamond" w:hAnsi="Garamond"/>
          <w:b/>
          <w:sz w:val="24"/>
        </w:rPr>
      </w:r>
    </w:p>
    <w:p>
      <w:pPr>
        <w:pStyle w:val="BodyText"/>
        <w:rPr/>
      </w:pPr>
      <w:r>
        <w:rPr/>
        <w:t>In connection with the sale process, it is important to retain key employees and consultants in order to preserve Mariner’s going concern value, complete existing projects, and provide the employees and consultants with some comfort.  Mariner does not have a formal severance plan and we propose that we adopt a plan similar to the one that was provided when the termination of employees occurred on September 17, 2001. Under this approach, an employee receives 1 week of salary for every year of service and 1 week for every $10,000 in annual salary.  The amount will be doubled if the employee signs a waiver.  It is the company’s intent to secure the board’s approval of this plan this afternoon and if approval is obtained, to formalize this plan as soon as possible.  This plan will apply to employees who do not have an employment agreement with the company.</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Additionally, we want to extend all existing employment agreements with employees and consulting agreements with the prospect generators to September 30, 2002, which coincides with the expiration of the no solicitation-no hire language contained in the Confidentiality Agreements with prospective buyers of the deepwater assets.  There will be no renewal of change in control agreements.  The people that are affected by this decision are: Ken Burgess, Cory Loegering, Mike Wichterich, Mike Van den Bold, Bruce Nevin, Rob Strauss, Joe Ozment, and Ralph Dobbins.</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Lastly we want to ensure that we maintain our relationships with certain other key consultants.  We have lost 3 consultants in the past few weeks.  We propose that Mariner guarantee certain consultants work through June 30, 2002, based on their average hours worked during the prior 6 months.  The people affected by this decision are Steve Foyil, Glenn Creel, Dean Swanzy and Kelly Zelikovitz.</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I believe that these measures are reasonable and necessary, particularly in light of the sales process and the uncertainty associated with Enron’s bankruptcy filing.  I recommend your approval of all necessary resolutions to implement the matters outlined in this proposal.</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t>Scott D. Josey</w:t>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r>
    </w:p>
    <w:p>
      <w:pPr>
        <w:pStyle w:val="Normal"/>
        <w:jc w:val="both"/>
        <w:rPr>
          <w:rFonts w:ascii="Garamond" w:hAnsi="Garamond" w:cs="Garamond"/>
          <w:sz w:val="24"/>
        </w:rPr>
      </w:pPr>
      <w:r>
        <w:rPr>
          <w:rFonts w:cs="Garamond" w:ascii="Garamond" w:hAnsi="Garamond"/>
          <w:sz w:val="24"/>
        </w:rPr>
      </w:r>
    </w:p>
    <w:p>
      <w:pPr>
        <w:pStyle w:val="Normal"/>
        <w:jc w:val="both"/>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Garamond" w:hAnsi="Garamond" w:cs="Garamond"/>
      <w:b/>
      <w:sz w:val="24"/>
    </w:rPr>
  </w:style>
  <w:style w:type="paragraph" w:styleId="BodyText">
    <w:name w:val="Body Text"/>
    <w:basedOn w:val="Normal"/>
    <w:pPr>
      <w:jc w:val="both"/>
    </w:pPr>
    <w:rPr>
      <w:rFonts w:ascii="Garamond" w:hAnsi="Garamond" w:cs="Garamond"/>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2001-12-04T14:35:00Z</dcterms:created>
  <dc:creator>SJOSEY</dc:creator>
  <dc:description/>
  <dc:language>en-CA</dc:language>
  <cp:lastModifiedBy>DCAGLE</cp:lastModifiedBy>
  <cp:lastPrinted>2001-12-04T10:42:00Z</cp:lastPrinted>
  <dcterms:modified xsi:type="dcterms:W3CDTF">2001-12-04T14:35:00Z</dcterms:modified>
  <cp:revision>2</cp:revision>
  <dc:subject/>
  <dc:title>To Members of the Board</dc:title>
</cp:coreProperties>
</file>