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The Periwinkle Foundation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Board of Directors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2001-2002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/>
      </w:pPr>
      <w:r>
        <w:rPr/>
        <w:t>Carl G. W. Dahlberg, MD</w:t>
      </w:r>
    </w:p>
    <w:p>
      <w:pPr>
        <w:pStyle w:val="Heading2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President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Christopher J. Simon</w:t>
      </w:r>
    </w:p>
    <w:p>
      <w:pPr>
        <w:pStyle w:val="Heading2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Vice President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Scott R. Pratt</w:t>
      </w:r>
    </w:p>
    <w:p>
      <w:pPr>
        <w:pStyle w:val="Heading3"/>
        <w:ind w:hanging="0" w:start="0"/>
        <w:rPr/>
      </w:pPr>
      <w:r>
        <w:rPr/>
        <w:t>Treasurer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Bayard Bell Linbeck</w:t>
      </w:r>
    </w:p>
    <w:p>
      <w:pPr>
        <w:pStyle w:val="Heading3"/>
        <w:ind w:hanging="0" w:start="0"/>
        <w:rPr/>
      </w:pPr>
      <w:r>
        <w:rPr/>
        <w:t>Secretary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Susan Sciullo Bailey</w:t>
      </w:r>
    </w:p>
    <w:p>
      <w:pPr>
        <w:pStyle w:val="Heading1"/>
        <w:ind w:hanging="0" w:start="0"/>
        <w:rPr/>
      </w:pPr>
      <w:r>
        <w:rPr/>
        <w:t>Alice Barry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Joseph R. Birkofer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John O. Bullington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Lisa Dent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Mark R. Dodson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Zoann Dreyer, MD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Jayne Finkowski-Rivera, MD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Michelle Fritsch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Scott Jarriel, MD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Elizabeth Kelley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Nancy E. Kline, PhD, RN CPNP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Andrew L. Koenig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Marilyn Mogas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Cynthia Petrello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Smiley N. Pool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Naomi Scott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Scott Silverman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Judy Fernbach Simon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Christian A. Steed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C. Philip Steuber, MD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Larry Tharp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Jacqueline B. Vogel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Laura W. Wheless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2001-11-26T17:56:00Z</dcterms:created>
  <dc:creator>Pat Sorrells</dc:creator>
  <dc:description/>
  <dc:language>en-CA</dc:language>
  <cp:lastModifiedBy>Kelley Harrell</cp:lastModifiedBy>
  <cp:lastPrinted>2001-11-26T14:34:00Z</cp:lastPrinted>
  <dcterms:modified xsi:type="dcterms:W3CDTF">2002-01-29T19:54:00Z</dcterms:modified>
  <cp:revision>3</cp:revision>
  <dc:subject/>
  <dc:title>The Periwinkle Foundation</dc:title>
</cp:coreProperties>
</file>