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Normal"/>
        <w:jc w:val="center"/>
        <w:rPr/>
      </w:pPr>
      <w:r>
        <w:rPr/>
        <w:t>c/o Enron North America, as agent</w:t>
      </w:r>
    </w:p>
    <w:p>
      <w:pPr>
        <w:pStyle w:val="Normal"/>
        <w:jc w:val="center"/>
        <w:rPr/>
      </w:pPr>
      <w:r>
        <w:rPr/>
        <w:t>1400 Smith Street</w:t>
      </w:r>
    </w:p>
    <w:p>
      <w:pPr>
        <w:pStyle w:val="Normal"/>
        <w:jc w:val="center"/>
        <w:rPr/>
      </w:pPr>
      <w:r>
        <w:rPr/>
        <w:t>Houston, Texas 77002</w:t>
      </w:r>
    </w:p>
    <w:p>
      <w:pPr>
        <w:pStyle w:val="Caption"/>
        <w:spacing w:before="0" w:after="480"/>
        <w:rPr/>
      </w:pPr>
      <w:r>
        <w:rPr/>
      </w:r>
    </w:p>
    <w:p>
      <w:pPr>
        <w:pStyle w:val="Caption"/>
        <w:spacing w:before="0" w:after="480"/>
        <w:rPr/>
      </w:pPr>
      <w:r>
        <w:rPr/>
        <w:t>December __, 2000</w:t>
      </w:r>
    </w:p>
    <w:p>
      <w:pPr>
        <w:pStyle w:val="BodyText2"/>
        <w:rPr/>
      </w:pPr>
      <w:r>
        <w:rPr/>
        <w:t>General Electric Company</w:t>
      </w:r>
    </w:p>
    <w:p>
      <w:pPr>
        <w:pStyle w:val="BodyText2"/>
        <w:rPr/>
      </w:pPr>
      <w:r>
        <w:rPr/>
        <w:t>1 River Road</w:t>
      </w:r>
    </w:p>
    <w:p>
      <w:pPr>
        <w:pStyle w:val="BodyText2"/>
        <w:rPr/>
      </w:pPr>
      <w:r>
        <w:rPr/>
        <w:t>Schnectady, NY 12345</w:t>
      </w:r>
    </w:p>
    <w:p>
      <w:pPr>
        <w:pStyle w:val="BodyText2"/>
        <w:spacing w:before="0" w:after="240"/>
        <w:rPr/>
      </w:pPr>
      <w:r>
        <w:rPr/>
      </w:r>
    </w:p>
    <w:p>
      <w:pPr>
        <w:pStyle w:val="BodyText"/>
        <w:rPr/>
      </w:pPr>
      <w:r>
        <w:rPr/>
        <w:t>Ladies and Gentlemen:</w:t>
      </w:r>
    </w:p>
    <w:p>
      <w:pPr>
        <w:pStyle w:val="BodyTextFirstIndent"/>
        <w:rPr/>
      </w:pPr>
      <w:r>
        <w:rPr/>
        <w:t>Reference is made to the Agreement, dated May 31, 2000, between LJM2-Turbine LLC (“LJM”), acting through its acquisition agent, Enron Engineering &amp; Construction Company, which was subsequently replaced by Enron North America Corp. (as agent for LJM), and General Electric Company (“GE”), and as assigned on December ___, 2000 to E-Next Generation LLC (the “</w:t>
      </w:r>
      <w:r>
        <w:rPr>
          <w:rStyle w:val="underline"/>
        </w:rPr>
        <w:t>Purchaser</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Unless otherwise specified herein, terms defined in the Turbine Contract are used herein as defined therein after giving effect to this letter agreement.</w:t>
      </w:r>
    </w:p>
    <w:p>
      <w:pPr>
        <w:pStyle w:val="BodyTextFirstIndent"/>
        <w:rPr/>
      </w:pPr>
      <w:r>
        <w:rPr/>
        <w:t>Until the Transfer Date, the parties hereto acknowledge and agree that the Turbine Contract shall be deemed amended in accordance with the following provisions:</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w:t>
      </w:r>
      <w:r>
        <w:rPr/>
        <w:t xml:space="preserve">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r>
    </w:p>
    <w:p>
      <w:pPr>
        <w:pStyle w:val="BodyTextFirstIndent"/>
        <w:rPr/>
      </w:pPr>
      <w:r>
        <w:rPr/>
      </w:r>
    </w:p>
    <w:p>
      <w:pPr>
        <w:pStyle w:val="BodyTextFirstIndent"/>
        <w:rPr/>
      </w:pPr>
      <w:r>
        <w:rPr/>
        <w:t>REMAINDER OF PAGE LEFT INTENTIONALLY</w:t>
      </w:r>
      <w:r>
        <w:br w:type="page"/>
      </w:r>
    </w:p>
    <w:p>
      <w:pPr>
        <w:pStyle w:val="BodyTextFirstIndent"/>
        <w:rPr/>
      </w:pPr>
      <w:r>
        <w:rPr/>
      </w:r>
    </w:p>
    <w:p>
      <w:pPr>
        <w:pStyle w:val="rightjust"/>
        <w:jc w:val="center"/>
        <w:rPr/>
      </w:pPr>
      <w:r>
        <w:rPr/>
        <w:t>ANNEX I</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szCs w:val="24"/>
        </w:rPr>
      </w:pPr>
      <w:r>
        <w:rPr>
          <w:color w:val="000000"/>
          <w:szCs w:val="24"/>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szCs w:val="24"/>
        </w:rPr>
      </w:pPr>
      <w:r>
        <w:rPr>
          <w:color w:val="000000"/>
          <w:szCs w:val="24"/>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BodyText"/>
        <w:rPr/>
      </w:pPr>
      <w:r>
        <w:rPr/>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GENERAL ELECTRIC COMPANY</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2"/>
        <w:ind w:hanging="0" w:start="0"/>
        <w:rPr/>
      </w:pPr>
      <w:r>
        <w:rPr/>
        <w:t>Purchaser shall pay to Seller the sums required to be paid by Purchaser pursuant to the terms of this Agreement.</w:t>
      </w:r>
    </w:p>
    <w:p>
      <w:pPr>
        <w:pStyle w:val="Heading2"/>
        <w:ind w:hanging="0" w:start="0"/>
        <w:rPr/>
      </w:pPr>
      <w:r>
        <w:rPr/>
        <w:t>the Units shall be installed, operated and maintained by either Purchaser or Agent (as the case may be) as identified in Exhibit B-1, Section 3 and as otherwise stated in the Agreement.</w:t>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rightjust"/>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numPr>
          <w:ilvl w:val="1"/>
          <w:numId w:val="7"/>
        </w:numPr>
        <w:rPr/>
      </w:pPr>
      <w:r>
        <w:rPr/>
        <w:t>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ind w:hanging="0" w:start="0"/>
        <w:rPr/>
      </w:pPr>
      <w:r>
        <w:rPr/>
        <w:t>The indemnitor’s contractual obligation of indemnification under this Agreement is subject to the conditions precedent that:</w:t>
      </w:r>
    </w:p>
    <w:p>
      <w:pPr>
        <w:pStyle w:val="Heading3"/>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ind w:hanging="0" w:start="0"/>
        <w:rPr/>
      </w:pPr>
      <w:r>
        <w:rPr/>
        <w:t>the party with the duty to indemnify shall thereafter have the right to participate in the investigation, defense and resolution of such third party claim; and</w:t>
      </w:r>
    </w:p>
    <w:p>
      <w:pPr>
        <w:pStyle w:val="Heading3"/>
        <w:ind w:hanging="0" w:start="0"/>
        <w:rPr/>
      </w:pPr>
      <w:r>
        <w:rPr/>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Heading2"/>
        <w:ind w:hanging="0" w:start="0"/>
        <w:rPr/>
      </w:pPr>
      <w:r>
        <w:rPr/>
        <w:t>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the Agent to obtain payment in a commercially reasonable manner from such Agent of any amounts claimed in such Notice.  Upon receipt of any such payments from the Agent, the Purchaser shall deliver such amounts to Seller in accordance with this Article XX.</w:t>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rPr/>
      </w:pPr>
      <w:r>
        <w:rPr/>
        <w:t>ANNEX III</w:t>
      </w:r>
    </w:p>
    <w:p>
      <w:pPr>
        <w:sectPr>
          <w:headerReference w:type="default" r:id="rId15"/>
          <w:headerReference w:type="first" r:id="rId16"/>
          <w:footerReference w:type="default" r:id="rId17"/>
          <w:footerReference w:type="first" r:id="rId18"/>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t>22.2</w:t>
        <w:tab/>
      </w:r>
      <w:r>
        <w:rPr>
          <w:u w:val="single"/>
        </w:rPr>
        <w:t>Assignment by Purchaser or Agent</w:t>
      </w:r>
      <w:r>
        <w:rPr/>
        <w:t>.  [To come.]</w:t>
      </w:r>
    </w:p>
    <w:p>
      <w:pPr>
        <w:pStyle w:val="rightjust"/>
        <w:rPr/>
      </w:pPr>
      <w:r>
        <w:rPr/>
        <w:t>ANNEX IV</w:t>
      </w:r>
    </w:p>
    <w:p>
      <w:pPr>
        <w:pStyle w:val="BodyText"/>
        <w:rPr/>
      </w:pPr>
      <w:r>
        <w:rPr/>
        <w:t>26.4</w:t>
        <w:tab/>
      </w:r>
      <w:r>
        <w:rPr>
          <w:rStyle w:val="underline"/>
        </w:rPr>
        <w:t>Resolution of Certain Purchaser-Agent Disputes</w:t>
      </w:r>
      <w:r>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Heading2"/>
        <w:numPr>
          <w:ilvl w:val="1"/>
          <w:numId w:val="8"/>
        </w:numPr>
        <w:rPr/>
      </w:pPr>
      <w:r>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Heading2"/>
        <w:ind w:hanging="0" w:start="0"/>
        <w:rPr/>
      </w:pPr>
      <w:r>
        <w:rPr/>
        <w:t>any arbitration proceeding referred to in Section 26.4 (a) shall be deemed a Related Dispute hereunder.</w:t>
      </w:r>
    </w:p>
    <w:p>
      <w:pPr>
        <w:pStyle w:val="BodyText"/>
        <w:rPr/>
      </w:pPr>
      <w:r>
        <w:rPr/>
        <w:t>26.5</w:t>
        <w:tab/>
      </w:r>
      <w:r>
        <w:rPr>
          <w:rStyle w:val="underline"/>
        </w:rPr>
        <w:t>Limitation on Power of Arbitrators</w:t>
      </w:r>
      <w:r>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shall be void ab initio.</w:t>
      </w:r>
    </w:p>
    <w:p>
      <w:pPr>
        <w:pStyle w:val="BodyText"/>
        <w:spacing w:before="0" w:after="240"/>
        <w:rPr/>
      </w:pPr>
      <w:r>
        <w:rPr/>
      </w:r>
    </w:p>
    <w:sectPr>
      <w:headerReference w:type="default" r:id="rId19"/>
      <w:headerReference w:type="first" r:id="rId20"/>
      <w:footerReference w:type="default" r:id="rId21"/>
      <w:footerReference w:type="first" r:id="rId22"/>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align>bottom</wp:align>
              </wp:positionV>
              <wp:extent cx="668020" cy="365760"/>
              <wp:effectExtent l="0" t="0" r="0" b="0"/>
              <wp:wrapSquare wrapText="bothSides"/>
              <wp:docPr id="7" name="Frame1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6" name="Frame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abstractNum w:abstractNumId="8">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2000-12-07T21:34:00Z</dcterms:created>
  <dc:creator>A&amp;K</dc:creator>
  <dc:description/>
  <dc:language>en-CA</dc:language>
  <cp:lastModifiedBy>kmann</cp:lastModifiedBy>
  <cp:lastPrinted>2000-12-07T23:00:00Z</cp:lastPrinted>
  <dcterms:modified xsi:type="dcterms:W3CDTF">2000-12-08T02:42:00Z</dcterms:modified>
  <cp:revision>4</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