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OF CONTRACTS</w:t>
      </w:r>
    </w:p>
    <w:p>
      <w:pPr>
        <w:pStyle w:val="Normal"/>
        <w:jc w:val="center"/>
        <w:rPr>
          <w:b/>
        </w:rPr>
      </w:pPr>
      <w:r>
        <w:rPr>
          <w:b/>
        </w:rPr>
        <w:t>(BLOOMFIELD COMPRESSOR STATION)</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Enron Capital &amp; Trade Resources Corp., a Delaware corporation (“</w:t>
      </w:r>
      <w:r>
        <w:rPr>
          <w:u w:val="single"/>
        </w:rPr>
        <w:t>Assignor</w:t>
      </w:r>
      <w:r>
        <w:rPr/>
        <w:t>”) and ECS Compression Company, L.L.C. (“</w:t>
      </w:r>
      <w:r>
        <w:rPr>
          <w:u w:val="single"/>
        </w:rPr>
        <w:t>Assignee</w:t>
      </w:r>
      <w:r>
        <w:rPr/>
        <w:t>”) enter into this assignment of contracts (this "</w:t>
      </w:r>
      <w:r>
        <w:rPr>
          <w:u w:val="single"/>
        </w:rPr>
        <w:t>Assignment</w:t>
      </w:r>
      <w:r>
        <w:rPr/>
        <w:t>") effective as of June ___, 1999 and hereby agree as follows:</w:t>
      </w:r>
    </w:p>
    <w:p>
      <w:pPr>
        <w:pStyle w:val="Normal"/>
        <w:jc w:val="both"/>
        <w:rPr/>
      </w:pPr>
      <w:r>
        <w:rPr/>
      </w:r>
    </w:p>
    <w:p>
      <w:pPr>
        <w:pStyle w:val="Normal"/>
        <w:jc w:val="both"/>
        <w:rPr/>
      </w:pPr>
      <w:r>
        <w:rPr/>
        <w:tab/>
        <w:t>(1)</w:t>
        <w:tab/>
        <w:t>Assignor, the legal and equitable owner and holder of those certain contracts associated with the Bloomfield Compressor Station as more specifically described in Exhibit "A", attached hereto, as amended and supplemented from time to time (the “</w:t>
      </w:r>
      <w:r>
        <w:rPr>
          <w:u w:val="single"/>
        </w:rPr>
        <w:t>Contracts</w:t>
      </w:r>
      <w:r>
        <w:rPr/>
        <w:t>”), in consideration of the mutual covenants and agreements contained herein, the receipt and sufficiency of which consideration are hereby acknowledged, has transferred and assigned, and by these presents does hereby transfer and assign unto Assignee the Contracts and all rights and obligations thereunder.</w:t>
      </w:r>
    </w:p>
    <w:p>
      <w:pPr>
        <w:pStyle w:val="Normal"/>
        <w:jc w:val="both"/>
        <w:rPr/>
      </w:pPr>
      <w:r>
        <w:rPr/>
      </w:r>
    </w:p>
    <w:p>
      <w:pPr>
        <w:pStyle w:val="Normal"/>
        <w:jc w:val="both"/>
        <w:rPr/>
      </w:pPr>
      <w:r>
        <w:rPr/>
        <w:tab/>
        <w:t>(2)</w:t>
        <w:tab/>
        <w:t>Assignor warrants and represents that assignor is the legal and equitable owner and holder of the Contracts and has full power and authority to transfer and assign the Contracts.</w:t>
      </w:r>
    </w:p>
    <w:p>
      <w:pPr>
        <w:pStyle w:val="Normal"/>
        <w:jc w:val="both"/>
        <w:rPr/>
      </w:pPr>
      <w:r>
        <w:rPr/>
      </w:r>
    </w:p>
    <w:p>
      <w:pPr>
        <w:pStyle w:val="Normal"/>
        <w:jc w:val="both"/>
        <w:rPr/>
      </w:pPr>
      <w:r>
        <w:rPr/>
        <w:tab/>
        <w:t>(3)</w:t>
        <w:tab/>
        <w:t>Assignor warrants that the Contracts together with all related rights are free of liens, encumbrances and adverse claims.</w:t>
      </w:r>
    </w:p>
    <w:p>
      <w:pPr>
        <w:pStyle w:val="Normal"/>
        <w:jc w:val="both"/>
        <w:rPr/>
      </w:pPr>
      <w:r>
        <w:rPr/>
      </w:r>
    </w:p>
    <w:p>
      <w:pPr>
        <w:pStyle w:val="Normal"/>
        <w:jc w:val="both"/>
        <w:rPr/>
      </w:pPr>
      <w:r>
        <w:rPr/>
        <w:tab/>
        <w:t xml:space="preserve">(4)  </w:t>
        <w:tab/>
        <w:t>Assignee hereby assumes and agrees to perform all the remaining obligations of the Assignor under the Contracts and agrees to be bound  by the terms and conditions of the Contracts.  Further, Assignee agrees to indemnify and hold the Assignor harmless  from any claim or demand resulting from the non-performance by the Assignee under any of the Contracts.</w:t>
      </w:r>
    </w:p>
    <w:p>
      <w:pPr>
        <w:pStyle w:val="Normal"/>
        <w:jc w:val="both"/>
        <w:rPr/>
      </w:pPr>
      <w:r>
        <w:rPr/>
      </w:r>
    </w:p>
    <w:p>
      <w:pPr>
        <w:pStyle w:val="BodyText"/>
        <w:rPr/>
      </w:pPr>
      <w:r>
        <w:rPr/>
        <w:tab/>
        <w:t>(5)</w:t>
        <w:tab/>
        <w:t>Assignee agrees to comply with the City of Farmington Electric Utility System of the City of Farmington's deposit policy in accordance with Section 3G of that certain General Services Agreement dated April 8, 1996, hereby assigned.</w:t>
      </w:r>
    </w:p>
    <w:p>
      <w:pPr>
        <w:pStyle w:val="Normal"/>
        <w:jc w:val="both"/>
        <w:rPr/>
      </w:pPr>
      <w:r>
        <w:rPr/>
      </w:r>
    </w:p>
    <w:p>
      <w:pPr>
        <w:pStyle w:val="Normal"/>
        <w:jc w:val="both"/>
        <w:rPr/>
      </w:pPr>
      <w:r>
        <w:rPr/>
        <w:tab/>
        <w:t>(6)</w:t>
        <w:tab/>
        <w:t>THIS ASSIGNMENT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(7)</w:t>
        <w:tab/>
        <w:t>Assignor and Assignee will promptly, upon reasonable request and at the sole expense of the requesting party, execute and deliver all such other documents and take such other actions as may be reasonably necessary to effectuate the intent and provisions of this Assignment.</w:t>
      </w:r>
    </w:p>
    <w:p>
      <w:pPr>
        <w:pStyle w:val="Normal"/>
        <w:jc w:val="both"/>
        <w:rPr/>
      </w:pPr>
      <w:r>
        <w:rPr/>
      </w:r>
    </w:p>
    <w:p>
      <w:pPr>
        <w:pStyle w:val="Normal"/>
        <w:jc w:val="both"/>
        <w:rPr/>
      </w:pPr>
      <w:r>
        <w:rPr/>
        <w:tab/>
        <w:t>(8)</w:t>
        <w:tab/>
        <w:t xml:space="preserve">This Assignment shall be binding upon and inure to the benefit of the Assignor and Assignee and their successors and assigns. </w:t>
      </w:r>
    </w:p>
    <w:p>
      <w:pPr>
        <w:pStyle w:val="Normal"/>
        <w:jc w:val="both"/>
        <w:rPr/>
      </w:pPr>
      <w:r>
        <w:rPr/>
      </w:r>
    </w:p>
    <w:p>
      <w:pPr>
        <w:pStyle w:val="Normal"/>
        <w:jc w:val="both"/>
        <w:rPr/>
      </w:pPr>
      <w:r>
        <w:rPr/>
        <w:tab/>
      </w:r>
    </w:p>
    <w:p>
      <w:pPr>
        <w:pStyle w:val="Normal"/>
        <w:jc w:val="both"/>
        <w:rPr/>
      </w:pPr>
      <w:r>
        <w:rPr/>
      </w:r>
    </w:p>
    <w:p>
      <w:pPr>
        <w:pStyle w:val="Normal"/>
        <w:ind w:firstLine="720" w:end="0"/>
        <w:jc w:val="both"/>
        <w:rPr/>
      </w:pPr>
      <w:r>
        <w:rPr/>
        <w:t>IN WITNESS WHEREOF, Assignor and Assignee each respectively has caused this Assignment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b/>
        </w:rPr>
      </w:pPr>
      <w:r>
        <w:rPr>
          <w:b/>
        </w:rPr>
        <w:t>Enron Capital &amp; Trade Resources Corp.</w:t>
        <w:tab/>
      </w:r>
    </w:p>
    <w:p>
      <w:pPr>
        <w:pStyle w:val="Normal"/>
        <w:tabs>
          <w:tab w:val="clear" w:pos="720"/>
          <w:tab w:val="left" w:pos="900" w:leader="none"/>
          <w:tab w:val="left" w:pos="5580" w:leader="none"/>
        </w:tabs>
        <w:ind w:start="5580" w:end="0"/>
        <w:rPr>
          <w:b/>
        </w:rPr>
      </w:pPr>
      <w:r>
        <w:rPr>
          <w:b/>
        </w:rPr>
      </w:r>
    </w:p>
    <w:p>
      <w:pPr>
        <w:pStyle w:val="Normal"/>
        <w:tabs>
          <w:tab w:val="clear" w:pos="720"/>
          <w:tab w:val="left" w:pos="810" w:leader="none"/>
          <w:tab w:val="left" w:pos="4950" w:leader="none"/>
          <w:tab w:val="left" w:pos="5670" w:leader="none"/>
        </w:tabs>
        <w:jc w:val="both"/>
        <w:rPr/>
      </w:pPr>
      <w:r>
        <w:rPr/>
        <w:t>By:</w:t>
        <w:tab/>
        <w:t>________________________</w:t>
        <w:tab/>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900" w:leader="none"/>
          <w:tab w:val="left" w:pos="4950" w:leader="none"/>
        </w:tabs>
        <w:jc w:val="both"/>
        <w:rPr/>
      </w:pPr>
      <w:r>
        <w:rPr/>
        <w:t>ASSIGNEE</w:t>
      </w:r>
    </w:p>
    <w:p>
      <w:pPr>
        <w:pStyle w:val="Normal"/>
        <w:tabs>
          <w:tab w:val="clear" w:pos="720"/>
          <w:tab w:val="left" w:pos="900" w:leader="none"/>
          <w:tab w:val="left" w:pos="4950" w:leader="none"/>
        </w:tabs>
        <w:jc w:val="both"/>
        <w:rPr/>
      </w:pPr>
      <w:r>
        <w:rPr/>
      </w:r>
    </w:p>
    <w:p>
      <w:pPr>
        <w:pStyle w:val="Normal"/>
        <w:tabs>
          <w:tab w:val="clear" w:pos="720"/>
          <w:tab w:val="left" w:pos="900" w:leader="none"/>
          <w:tab w:val="left" w:pos="4950" w:leader="none"/>
        </w:tabs>
        <w:jc w:val="both"/>
        <w:rPr>
          <w:b/>
        </w:rPr>
      </w:pPr>
      <w:r>
        <w:rPr>
          <w:b/>
        </w:rPr>
        <w:t>ECS Compression Company, L.L.C.</w:t>
      </w:r>
    </w:p>
    <w:p>
      <w:pPr>
        <w:pStyle w:val="BodyTextIndent"/>
        <w:ind w:start="0" w:end="0"/>
        <w:rPr/>
      </w:pPr>
      <w:r>
        <w:rPr/>
        <w:tab/>
      </w:r>
    </w:p>
    <w:p>
      <w:pPr>
        <w:pStyle w:val="BodyTextIndent"/>
        <w:ind w:start="0" w:end="0"/>
        <w:rPr/>
      </w:pPr>
      <w:r>
        <w:rPr/>
        <w:tab/>
        <w:t xml:space="preserve">By </w:t>
      </w:r>
      <w:r>
        <w:rPr>
          <w:b/>
        </w:rPr>
        <w:t>Enron Compression Services Company</w:t>
      </w:r>
    </w:p>
    <w:p>
      <w:pPr>
        <w:pStyle w:val="Normal"/>
        <w:tabs>
          <w:tab w:val="clear" w:pos="720"/>
          <w:tab w:val="left" w:pos="0" w:leader="none"/>
          <w:tab w:val="left" w:pos="1260" w:leader="none"/>
          <w:tab w:val="left" w:pos="4950" w:leader="none"/>
          <w:tab w:val="left" w:pos="5760" w:leader="none"/>
        </w:tabs>
        <w:jc w:val="both"/>
        <w:rPr/>
      </w:pPr>
      <w:r>
        <w:rPr/>
        <w:tab/>
        <w:t>its Managing Member</w:t>
      </w:r>
    </w:p>
    <w:p>
      <w:pPr>
        <w:pStyle w:val="Normal"/>
        <w:tabs>
          <w:tab w:val="clear" w:pos="720"/>
          <w:tab w:val="left" w:pos="0" w:leader="none"/>
          <w:tab w:val="left" w:pos="900" w:leader="none"/>
          <w:tab w:val="left" w:pos="4950" w:leader="none"/>
          <w:tab w:val="left" w:pos="5760" w:leader="none"/>
        </w:tabs>
        <w:jc w:val="both"/>
        <w:rPr/>
      </w:pPr>
      <w:r>
        <w:rPr/>
        <w:tab/>
      </w:r>
    </w:p>
    <w:p>
      <w:pPr>
        <w:pStyle w:val="Normal"/>
        <w:tabs>
          <w:tab w:val="clear" w:pos="720"/>
          <w:tab w:val="left" w:pos="0" w:leader="none"/>
          <w:tab w:val="left" w:pos="1530" w:leader="none"/>
          <w:tab w:val="left" w:pos="4950" w:leader="none"/>
          <w:tab w:val="left" w:pos="5760" w:leader="none"/>
        </w:tabs>
        <w:jc w:val="both"/>
        <w:rPr/>
      </w:pPr>
      <w:r>
        <w:rPr/>
        <w:tab/>
        <w:t>By:__________________________</w:t>
      </w:r>
    </w:p>
    <w:p>
      <w:pPr>
        <w:pStyle w:val="Normal"/>
        <w:tabs>
          <w:tab w:val="clear" w:pos="720"/>
          <w:tab w:val="left" w:pos="0" w:leader="none"/>
          <w:tab w:val="left" w:pos="1530" w:leader="none"/>
          <w:tab w:val="left" w:pos="4950" w:leader="none"/>
          <w:tab w:val="left" w:pos="5760" w:leader="none"/>
        </w:tabs>
        <w:jc w:val="both"/>
        <w:rPr/>
      </w:pPr>
      <w:r>
        <w:rPr/>
        <w:tab/>
        <w:t>Name:________________________</w:t>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tabs>
          <w:tab w:val="clear" w:pos="720"/>
          <w:tab w:val="left" w:pos="0" w:leader="none"/>
          <w:tab w:val="left" w:pos="1530" w:leader="none"/>
          <w:tab w:val="left" w:pos="4950" w:leader="none"/>
          <w:tab w:val="left" w:pos="5760" w:leader="none"/>
        </w:tabs>
        <w:jc w:val="both"/>
        <w:rPr/>
      </w:pPr>
      <w:r>
        <w:rPr/>
        <w:tab/>
        <w:t>Title:_________________________</w:t>
      </w:r>
    </w:p>
    <w:p>
      <w:pPr>
        <w:pStyle w:val="Normal"/>
        <w:tabs>
          <w:tab w:val="clear" w:pos="720"/>
          <w:tab w:val="left" w:pos="0" w:leader="none"/>
          <w:tab w:val="left" w:pos="810" w:leader="none"/>
          <w:tab w:val="left" w:pos="4950" w:leader="none"/>
          <w:tab w:val="left" w:pos="5760" w:leader="none"/>
        </w:tabs>
        <w:jc w:val="center"/>
        <w:rPr/>
      </w:pPr>
      <w:r>
        <w:rPr/>
        <w:t>EXHIBIT A</w:t>
      </w:r>
    </w:p>
    <w:p>
      <w:pPr>
        <w:pStyle w:val="Normal"/>
        <w:tabs>
          <w:tab w:val="clear" w:pos="720"/>
          <w:tab w:val="left" w:pos="0" w:leader="none"/>
          <w:tab w:val="left" w:pos="810" w:leader="none"/>
          <w:tab w:val="left" w:pos="4950" w:leader="none"/>
          <w:tab w:val="left" w:pos="5760" w:leader="none"/>
        </w:tabs>
        <w:jc w:val="center"/>
        <w:rPr/>
      </w:pPr>
      <w:r>
        <w:rPr/>
      </w:r>
    </w:p>
    <w:p>
      <w:pPr>
        <w:pStyle w:val="Normal"/>
        <w:tabs>
          <w:tab w:val="clear" w:pos="720"/>
          <w:tab w:val="left" w:pos="0" w:leader="none"/>
          <w:tab w:val="left" w:pos="810" w:leader="none"/>
          <w:tab w:val="left" w:pos="4950" w:leader="none"/>
          <w:tab w:val="left" w:pos="5760" w:leader="none"/>
        </w:tabs>
        <w:jc w:val="center"/>
        <w:rPr/>
      </w:pPr>
      <w:r>
        <w:rPr/>
        <w:t>BLOOMFIELD COMPRESSOR STATION</w:t>
      </w:r>
    </w:p>
    <w:p>
      <w:pPr>
        <w:pStyle w:val="Heading1"/>
        <w:ind w:hanging="0" w:start="0"/>
        <w:rPr/>
      </w:pPr>
      <w:r>
        <w:rPr/>
        <w:t>CONTRACTS</w:t>
      </w:r>
    </w:p>
    <w:p>
      <w:pPr>
        <w:pStyle w:val="Normal"/>
        <w:tabs>
          <w:tab w:val="clear" w:pos="720"/>
          <w:tab w:val="left" w:pos="0" w:leader="none"/>
          <w:tab w:val="left" w:pos="810" w:leader="none"/>
          <w:tab w:val="left" w:pos="4950" w:leader="none"/>
          <w:tab w:val="left" w:pos="5760" w:leader="none"/>
        </w:tabs>
        <w:jc w:val="both"/>
        <w:rPr>
          <w:sz w:val="20"/>
        </w:rPr>
      </w:pPr>
      <w:r>
        <w:rPr>
          <w:sz w:val="20"/>
        </w:rPr>
      </w:r>
    </w:p>
    <w:p>
      <w:pPr>
        <w:pStyle w:val="Normal"/>
        <w:tabs>
          <w:tab w:val="clear" w:pos="720"/>
          <w:tab w:val="left" w:pos="0" w:leader="none"/>
          <w:tab w:val="left" w:pos="810" w:leader="none"/>
          <w:tab w:val="left" w:pos="4950" w:leader="none"/>
          <w:tab w:val="left" w:pos="5760" w:leader="none"/>
        </w:tabs>
        <w:jc w:val="both"/>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 xml:space="preserve">Agreement </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Counterparty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jc w:val="both"/>
              <w:rPr>
                <w:b/>
                <w:u w:val="single"/>
              </w:rPr>
            </w:pPr>
            <w:r>
              <w:rPr>
                <w:b/>
                <w:u w:val="single"/>
              </w:rPr>
              <w:t>Date</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Compression Services Agreement (Bloomfield)</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Letter Agreement (Concerning Section 7.3 of the Compressor Services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Letter Agreement (Concerning Section 6.2 of the Compressor Services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Transwestern Pipeline 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March 31, 1999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General Service Agreement</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City of Farmington Electric Utility System of the City of Farmington</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April 8, 1996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Operations and Maintenance Agreement (BloomField)</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0" w:leader="none"/>
                <w:tab w:val="left" w:pos="810" w:leader="none"/>
                <w:tab w:val="left" w:pos="4950" w:leader="none"/>
                <w:tab w:val="left" w:pos="5760" w:leader="none"/>
              </w:tabs>
              <w:rPr>
                <w:sz w:val="20"/>
              </w:rPr>
            </w:pPr>
            <w:r>
              <w:rPr>
                <w:sz w:val="20"/>
              </w:rPr>
              <w:t>Company</w:t>
            </w:r>
          </w:p>
        </w:tc>
        <w:tc>
          <w:tcPr>
            <w:tcW w:w="295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left" w:pos="810" w:leader="none"/>
                <w:tab w:val="left" w:pos="4950" w:leader="none"/>
                <w:tab w:val="left" w:pos="5760" w:leader="none"/>
              </w:tabs>
              <w:rPr>
                <w:sz w:val="20"/>
              </w:rPr>
            </w:pPr>
            <w:r>
              <w:rPr>
                <w:sz w:val="20"/>
              </w:rPr>
              <w:t>September 9, 1996</w:t>
            </w:r>
          </w:p>
        </w:tc>
      </w:tr>
    </w:tbl>
    <w:p>
      <w:pPr>
        <w:pStyle w:val="Normal"/>
        <w:tabs>
          <w:tab w:val="clear" w:pos="720"/>
          <w:tab w:val="left" w:pos="0" w:leader="none"/>
          <w:tab w:val="left" w:pos="810" w:leader="none"/>
          <w:tab w:val="left" w:pos="4950" w:leader="none"/>
          <w:tab w:val="left" w:pos="5760" w:leader="none"/>
        </w:tabs>
        <w:jc w:val="both"/>
        <w:rPr/>
      </w:pPr>
      <w:r>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/mnt/main-storage/datasets/enron-docs/doc/Bloomfield_Contract_Assign.DOC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/mnt/main-storage/datasets/enron-docs/doc/Bloomfield_Contract_Assign.DOC</w:t>
    </w:r>
    <w:r>
      <w:rPr>
        <w:sz w:val="16"/>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0" w:leader="none"/>
        <w:tab w:val="left" w:pos="810" w:leader="none"/>
        <w:tab w:val="left" w:pos="4950" w:leader="none"/>
        <w:tab w:val="left" w:pos="5760" w:leader="none"/>
      </w:tabs>
      <w:jc w:val="cente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0" w:leader="none"/>
        <w:tab w:val="left" w:pos="5580" w:leader="none"/>
      </w:tabs>
      <w:ind w:hanging="0" w:start="558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1999-06-07T18:34:00Z</dcterms:created>
  <dc:creator>gfitzge</dc:creator>
  <dc:description/>
  <dc:language>en-CA</dc:language>
  <cp:lastModifiedBy>gnemec</cp:lastModifiedBy>
  <cp:lastPrinted>1999-06-09T13:42:00Z</cp:lastPrinted>
  <dcterms:modified xsi:type="dcterms:W3CDTF">1999-06-09T16:14:00Z</dcterms:modified>
  <cp:revision>25</cp:revision>
  <dc:subject/>
  <dc:title>Assignment Agreement</dc:title>
</cp:coreProperties>
</file>