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BILL OF SALE</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
          <w:sz w:val="22"/>
        </w:rPr>
      </w:pPr>
      <w:r>
        <w:rPr>
          <w:rFonts w:cs="Arial" w:ascii="Arial" w:hAnsi="Arial"/>
          <w:b/>
          <w:sz w:val="22"/>
        </w:rPr>
        <w:t>(BLOOMFIELD)</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
          <w:sz w:val="22"/>
        </w:rPr>
      </w:pPr>
      <w:r>
        <w:rPr>
          <w:rFonts w:cs="Arial" w:ascii="Arial" w:hAnsi="Arial"/>
          <w:b/>
          <w:sz w:val="22"/>
        </w:rPr>
      </w:r>
    </w:p>
    <w:p>
      <w:pPr>
        <w:pStyle w:val="Normal"/>
        <w:ind w:firstLine="720" w:end="0"/>
        <w:jc w:val="both"/>
        <w:rPr/>
      </w:pPr>
      <w:r>
        <w:rPr>
          <w:rFonts w:cs="Arial" w:ascii="Arial" w:hAnsi="Arial"/>
          <w:sz w:val="22"/>
        </w:rPr>
        <w:t>KNOW ALL MEN BY THESE PRESENTS, that in consideration of Ten Dollars ($10.00) and other good and valuable consideration, the receipt of which is hereby acknowledged, Enron Capital &amp; Trade Resources Corp., a Delaware corporation (hereinafter "Selle</w:t>
      </w:r>
      <w:r>
        <w:rPr>
          <w:rFonts w:cs="Arial" w:ascii="Arial" w:hAnsi="Arial"/>
          <w:sz w:val="22"/>
          <w:u w:val="single"/>
        </w:rPr>
        <w:t>r</w:t>
      </w:r>
      <w:r>
        <w:rPr>
          <w:rFonts w:cs="Arial" w:ascii="Arial" w:hAnsi="Arial"/>
          <w:sz w:val="22"/>
        </w:rPr>
        <w:t>"), does hereby GRANT, BARGAIN, ASSIGN, TRANSFER, SELL, CONVEY, and DELIVER unto Enron Compression Services Company, a Delaware corporation (hereinafter referred to as "</w:t>
      </w:r>
      <w:r>
        <w:rPr>
          <w:rFonts w:cs="Arial" w:ascii="Arial" w:hAnsi="Arial"/>
          <w:sz w:val="22"/>
          <w:u w:val="single"/>
        </w:rPr>
        <w:t>Buyer</w:t>
      </w:r>
      <w:r>
        <w:rPr>
          <w:rFonts w:cs="Arial" w:ascii="Arial" w:hAnsi="Arial"/>
          <w:sz w:val="22"/>
        </w:rPr>
        <w:t>") effective as of June ___, 1999, (hereinafter the “Effective Date”) that certain electric motor driver and appurtenant equipment located at Transwestern Pipeline Company's Bloomfield Compressor Station in New Mexico, which is more specifically described on Exhibit "A" attached hereto (the "</w:t>
      </w:r>
      <w:r>
        <w:rPr>
          <w:rFonts w:cs="Arial" w:ascii="Arial" w:hAnsi="Arial"/>
          <w:sz w:val="22"/>
          <w:u w:val="single"/>
        </w:rPr>
        <w:t>Electric Motor Driver</w:t>
      </w:r>
      <w:r>
        <w:rPr>
          <w:rFonts w:cs="Arial" w:ascii="Arial" w:hAnsi="Arial"/>
          <w:sz w:val="22"/>
        </w:rPr>
        <w:t>") and all contractual rights related thereto including, without limitation, all rights under that certain Turnkey Engineering, Procurement, and Construction Agreement (Bloomfield, New Mexico) between Transwestern Pipeline Company and Seller dated September 9, 1996, all equipment manufacturers warranties, either oral or written, and all warranties under the Uniform Commercial Code.</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Seller hereby agrees, subject to the terms and conditions set forth herein, to warrant and forever defend, all and singular the Electric Motor Driver unto Buyer, its successors and assigns, against every person whomsoever lawfully claiming or to claim the same or any part thereof by, through or under Seller but not otherwise.</w:t>
      </w:r>
    </w:p>
    <w:p>
      <w:pPr>
        <w:pStyle w:val="Normal"/>
        <w:ind w:firstLine="720" w:end="0"/>
        <w:jc w:val="both"/>
        <w:rPr>
          <w:rFonts w:ascii="Arial" w:hAnsi="Arial" w:cs="Arial"/>
          <w:sz w:val="22"/>
        </w:rPr>
      </w:pPr>
      <w:r>
        <w:rPr>
          <w:rFonts w:cs="Arial" w:ascii="Arial" w:hAnsi="Arial"/>
          <w:sz w:val="22"/>
        </w:rPr>
      </w:r>
    </w:p>
    <w:p>
      <w:pPr>
        <w:pStyle w:val="BodyTextIndent3"/>
        <w:rPr/>
      </w:pPr>
      <w:r>
        <w:rPr/>
        <w:t>Seller also assigns all books, files, records and reports (including electronic data files that would not violate any license or law) pertaining to the Electric Motor Driver, including but not limited to, all construction and testing records, equipment specifications and operating manuals and inspection reports, and reports and filings.  Seller shall retain a copy of all such documentation.</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Seller shall be responsible for all taxes, fees and expenses associated with the Electric Motor Driver prior to the Effective Date and Buyer shall be responsible for all taxes, fees and expenses associated with the Electric Motor Driver on and after the Effective Date.</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SELLERS SHALL INDEMNIFY, DEFEND, REIMBURSE AND HOLD BUYER FREE AND HARMLESS FROM ANY COSTS, CLAIMS, DAMAGES (WHETHER ON ACCOUNT OF PERSONAL INJURY OR DEATH OR ON ACCOUNT OF PROPERTY DAMAGE) OR CAUSES OF ACTION AND LOSSES OF WHATSOEVER NATURE (INCLUDING ATTORNEY'S FEES AND COURT COSTS) ARISING OUT OF OR IN CONNECTION WITH OR IN ANY WAY ATTRIBUTABLE TO THE OWNERSHIP AND/OR OPERATORSHIP OF THE ELECTRIC MOTOR DRIVER FOR THE PERIOD PRIOR TO THE EFFECTIVE DATE.  BUYER SHALL INDEMNIFY, DEFEND REIMBURSE AND HOLD SELLERS FREE AND HARMLESS FROM ANY COSTS, CLAIMS, DAMAGES (WHETHER ON ACCOUNT OF PERSONAL INJURY OR DEATH OR ON ACCOUNT OF PROPERTY DAMAGE) OR CAUSES OF ACTION AND LOSSES OF WHATSOEVER NATURE (INCLUDING ATTORNEY'S FEES AND COURT COSTS) ARISING OUT OF OR IN CONNECTION WITH OR IN ANY WAY ATTRIBUTABLE TO THE OWNERSHIP AND/OR OPERATORSHIP OF THE ELECTRIC MOTOR DRIVER FOR THE PERIOD AFTER THE EFFECTIVE DATE, EXCEPT TO THE EXTENT THAT SUCH COSTS, CLAIMS, DAMAGES, CAUSES OF ACTION OR LOSSES ARE DUE TO SELLERS' NEGLIGENCE OR WILLFUL MISCONDUCT.</w:t>
      </w:r>
    </w:p>
    <w:p>
      <w:pPr>
        <w:pStyle w:val="Normal"/>
        <w:ind w:firstLine="720" w:end="0"/>
        <w:jc w:val="both"/>
        <w:rPr>
          <w:rFonts w:ascii="Arial" w:hAnsi="Arial" w:cs="Arial"/>
          <w:sz w:val="22"/>
        </w:rPr>
      </w:pPr>
      <w:r>
        <w:rPr>
          <w:rFonts w:cs="Arial" w:ascii="Arial" w:hAnsi="Arial"/>
          <w:sz w:val="22"/>
        </w:rPr>
      </w:r>
    </w:p>
    <w:p>
      <w:pPr>
        <w:pStyle w:val="Normal"/>
        <w:tabs>
          <w:tab w:val="clear" w:pos="720"/>
          <w:tab w:val="left" w:pos="1080" w:leader="none"/>
        </w:tabs>
        <w:spacing w:lineRule="atLeast" w:line="240"/>
        <w:ind w:firstLine="720" w:end="0"/>
        <w:jc w:val="both"/>
        <w:rPr/>
      </w:pPr>
      <w:r>
        <w:rPr>
          <w:rFonts w:cs="Arial" w:ascii="Arial" w:hAnsi="Arial"/>
          <w:sz w:val="22"/>
        </w:rPr>
        <w:t>Any dispute relating to this Bill of Sale shall be resolved by binding, self-administered arbitration pursuant to the Commercial Arbitration Rules of the American Arbitration Association ("</w:t>
      </w:r>
      <w:r>
        <w:rPr>
          <w:rFonts w:cs="Arial" w:ascii="Arial" w:hAnsi="Arial"/>
          <w:sz w:val="22"/>
          <w:u w:val="single"/>
        </w:rPr>
        <w:t>AAA</w:t>
      </w:r>
      <w:r>
        <w:rPr>
          <w:rFonts w:cs="Arial" w:ascii="Arial" w:hAnsi="Arial"/>
          <w:sz w:val="22"/>
        </w:rPr>
        <w:t xml:space="preserve">") and all such proceedings shall be subject to the Federal Arbitration Act.  Each Party shall select one arbitrator and the two arbitrators shall select a third independent arbitrator who has not previously been employed by either Seller or Buyer and does not have a direct or indirect interest in either Seller or Buyer or the subject matter of the arbitration. </w:t>
      </w:r>
      <w:r>
        <w:rPr/>
        <w:t xml:space="preserve"> </w:t>
      </w:r>
      <w:r>
        <w:rPr>
          <w:rFonts w:cs="Arial" w:ascii="Arial" w:hAnsi="Arial"/>
          <w:sz w:val="22"/>
        </w:rPr>
        <w:t xml:space="preserve"> Only damages allowed pursuant to this Bill of Sale may be awarded and the arbitrator shall have no authority to award treble, exemplary or punitive damages of any type under any circumstances regardless of whether such damages may be available under Texas law. </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caps/>
          <w:sz w:val="22"/>
        </w:rPr>
      </w:pPr>
      <w:r>
        <w:rPr>
          <w:rFonts w:cs="Arial" w:ascii="Arial" w:hAnsi="Arial"/>
          <w:caps/>
          <w:sz w:val="22"/>
        </w:rPr>
        <w:t>Neither Party SHALL be liable for consequential, incidental, punitive, exemplary OR indirect damages, LOST PROFITS OR OTHER BUSINESS INTERRUPTION DAMAGES, in tort, contract, UNDER ANY INDEMNITY PROVISION OF THIS BILL of Sale or otherwise.</w:t>
      </w:r>
    </w:p>
    <w:p>
      <w:pPr>
        <w:pStyle w:val="Normal"/>
        <w:tabs>
          <w:tab w:val="left" w:pos="720" w:leader="none"/>
          <w:tab w:val="left" w:pos="1080" w:leader="none"/>
        </w:tabs>
        <w:spacing w:lineRule="atLeast" w:line="240"/>
        <w:ind w:firstLine="720" w:end="0"/>
        <w:jc w:val="center"/>
        <w:rPr>
          <w:rFonts w:ascii="Arial" w:hAnsi="Arial" w:cs="Arial"/>
          <w:caps/>
          <w:sz w:val="22"/>
        </w:rPr>
      </w:pPr>
      <w:r>
        <w:rPr>
          <w:rFonts w:cs="Arial" w:ascii="Arial" w:hAnsi="Arial"/>
          <w:caps/>
          <w:sz w:val="22"/>
        </w:rPr>
      </w:r>
    </w:p>
    <w:p>
      <w:pPr>
        <w:pStyle w:val="BodyTextIndent"/>
        <w:ind w:start="0" w:end="0"/>
        <w:rPr/>
      </w:pPr>
      <w:r>
        <w:rPr>
          <w:color w:val="auto"/>
        </w:rPr>
        <w:tab/>
      </w:r>
      <w:r>
        <w:rPr>
          <w:b w:val="false"/>
          <w:color w:val="auto"/>
        </w:rPr>
        <w:t>This Bill of Sale constitutes the entire agreement of the Parties related to the purchase and sale of the Electric Motor Driver.  There are no prior or contemporaneous agreements or representations (whether oral or written) affecting the Electric Motor Driver other than those herein expressed.  In case any one or more of the provisions contained in this Bill of Sale shall for any reason be held to be invalid, illegal or unenforceable in any respect, such invalidity, illegality or unenforceability shall not affect any other provision hereof, and this Bill of Sale shall be construed as if such invalid, illegal or unenforceable rovisions had never been herein contained.</w:t>
      </w:r>
    </w:p>
    <w:p>
      <w:pPr>
        <w:pStyle w:val="Normal"/>
        <w:spacing w:lineRule="atLeast" w:line="240"/>
        <w:jc w:val="center"/>
        <w:rPr>
          <w:rFonts w:ascii="Arial" w:hAnsi="Arial" w:cs="Arial"/>
          <w:b/>
          <w:color w:val="auto"/>
          <w:sz w:val="22"/>
        </w:rPr>
      </w:pPr>
      <w:r>
        <w:rPr>
          <w:rFonts w:cs="Arial" w:ascii="Arial" w:hAnsi="Arial"/>
          <w:b/>
          <w:color w:val="auto"/>
          <w:sz w:val="22"/>
        </w:rPr>
      </w:r>
    </w:p>
    <w:p>
      <w:pPr>
        <w:pStyle w:val="BodyTextIndent3"/>
        <w:rPr/>
      </w:pPr>
      <w:r>
        <w:rPr/>
        <w:t>THIS ASSIGNMENT SHALL BE GOVERNED BY AND CONSTRUED, ENFORCED AND PERFORMED IN ACCORDANCE WITH THE LAWS OF THE STATE OF TEXAS, WITHOUT REGARD TO PRINCIPLES OF CONFLICTS OF LAW.</w:t>
      </w:r>
    </w:p>
    <w:p>
      <w:pPr>
        <w:pStyle w:val="Normal"/>
        <w:ind w:firstLine="720" w:end="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This Bill of Sale has been executed in multiple counterparts, and each counterpart hereof shall be deemed to be an original instrument, but all of the counterparts shall constitute but one Bill of Sale.</w:t>
      </w:r>
    </w:p>
    <w:p>
      <w:pPr>
        <w:pStyle w:val="Normal"/>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This Bill of Sale shall be binding upon and inure to the benefit of Seller and Buyer, and their respective successors and assigns.</w:t>
      </w:r>
    </w:p>
    <w:p>
      <w:pPr>
        <w:pStyle w:val="Normal"/>
        <w:ind w:firstLine="720" w:end="0"/>
        <w:jc w:val="both"/>
        <w:rPr>
          <w:rFonts w:ascii="Arial" w:hAnsi="Arial" w:cs="Arial"/>
          <w:sz w:val="22"/>
        </w:rPr>
      </w:pPr>
      <w:r>
        <w:rPr>
          <w:rFonts w:cs="Arial" w:ascii="Arial" w:hAnsi="Arial"/>
          <w:sz w:val="22"/>
        </w:rPr>
      </w:r>
    </w:p>
    <w:p>
      <w:pPr>
        <w:pStyle w:val="Normal"/>
        <w:ind w:firstLine="720" w:end="0"/>
        <w:jc w:val="both"/>
        <w:rPr>
          <w:rFonts w:ascii="Arial" w:hAnsi="Arial" w:cs="Arial"/>
          <w:sz w:val="22"/>
        </w:rPr>
      </w:pPr>
      <w:r>
        <w:rPr>
          <w:rFonts w:cs="Arial" w:ascii="Arial" w:hAnsi="Arial"/>
          <w:sz w:val="22"/>
        </w:rPr>
        <w:t>IN WITNESS WHEREOF, the Seller has hereunto set his hand to this Bill of Sale this ____ date of June, 1999 but effective as of the Effective Date.</w:t>
      </w:r>
    </w:p>
    <w:p>
      <w:pPr>
        <w:pStyle w:val="Normal"/>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b/>
          <w:sz w:val="22"/>
        </w:rPr>
        <w:tab/>
      </w:r>
      <w:r>
        <w:rPr>
          <w:rFonts w:cs="Arial" w:ascii="Arial" w:hAnsi="Arial"/>
          <w:sz w:val="22"/>
        </w:rPr>
        <w:tab/>
        <w:tab/>
        <w:tab/>
      </w:r>
      <w:r>
        <w:rPr>
          <w:rFonts w:cs="Arial" w:ascii="Arial" w:hAnsi="Arial"/>
          <w:i/>
          <w:sz w:val="22"/>
        </w:rPr>
        <w:t>"Seller"</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i/>
          <w:i/>
          <w:sz w:val="22"/>
        </w:rPr>
      </w:pPr>
      <w:r>
        <w:rPr>
          <w:rFonts w:cs="Arial" w:ascii="Arial" w:hAnsi="Arial"/>
          <w:i/>
          <w:sz w:val="22"/>
        </w:rPr>
      </w:r>
    </w:p>
    <w:p>
      <w:pPr>
        <w:pStyle w:val="BodyTextIndent"/>
        <w:jc w:val="start"/>
        <w:rPr>
          <w:color w:val="auto"/>
        </w:rPr>
      </w:pPr>
      <w:r>
        <w:rPr>
          <w:color w:val="auto"/>
        </w:rPr>
        <w:t>ENRON CAPITAL &amp; TRADE RESOURCES CORP.</w:t>
      </w:r>
    </w:p>
    <w:p>
      <w:pPr>
        <w:pStyle w:val="Normal"/>
        <w:tabs>
          <w:tab w:val="left" w:pos="720" w:leader="none"/>
          <w:tab w:val="left" w:pos="1440" w:leader="none"/>
          <w:tab w:val="left" w:pos="2160" w:leader="none"/>
          <w:tab w:val="left" w:pos="8640" w:leader="none"/>
        </w:tabs>
        <w:ind w:firstLine="3960" w:end="0"/>
        <w:jc w:val="both"/>
        <w:rPr>
          <w:rFonts w:ascii="Arial" w:hAnsi="Arial" w:cs="Arial"/>
          <w:color w:val="auto"/>
          <w:sz w:val="22"/>
        </w:rPr>
      </w:pPr>
      <w:r>
        <w:rPr>
          <w:rFonts w:cs="Arial" w:ascii="Arial" w:hAnsi="Arial"/>
          <w:color w:val="auto"/>
          <w:sz w:val="22"/>
        </w:rPr>
      </w:r>
    </w:p>
    <w:p>
      <w:pPr>
        <w:pStyle w:val="Normal"/>
        <w:tabs>
          <w:tab w:val="left" w:pos="720" w:leader="none"/>
          <w:tab w:val="left" w:pos="1440" w:leader="none"/>
          <w:tab w:val="left" w:pos="2160" w:leader="none"/>
          <w:tab w:val="left" w:pos="8640" w:leader="none"/>
        </w:tabs>
        <w:ind w:firstLine="3960" w:end="0"/>
        <w:jc w:val="both"/>
        <w:rPr>
          <w:rFonts w:ascii="Arial" w:hAnsi="Arial" w:cs="Arial"/>
          <w:sz w:val="22"/>
        </w:rPr>
      </w:pPr>
      <w:r>
        <w:rPr>
          <w:rFonts w:cs="Arial" w:ascii="Arial" w:hAnsi="Arial"/>
          <w:sz w:val="22"/>
        </w:rPr>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t>By:</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t>Name:</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jc w:val="both"/>
        <w:rPr/>
      </w:pPr>
      <w:r>
        <w:rPr>
          <w:rFonts w:cs="Arial" w:ascii="Arial" w:hAnsi="Arial"/>
          <w:sz w:val="22"/>
        </w:rPr>
        <w:t>Title:</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u w:val="single"/>
        </w:rPr>
      </w:pPr>
      <w:r>
        <w:rPr>
          <w:rFonts w:cs="Arial" w:ascii="Arial" w:hAnsi="Arial"/>
          <w:sz w:val="22"/>
          <w:u w:val="single"/>
        </w:rPr>
      </w:r>
    </w:p>
    <w:p>
      <w:pPr>
        <w:pStyle w:val="Normal"/>
        <w:tabs>
          <w:tab w:val="left" w:pos="720" w:leader="none"/>
          <w:tab w:val="left" w:pos="1440" w:leader="none"/>
          <w:tab w:val="left" w:pos="2160" w:leader="none"/>
          <w:tab w:val="left" w:pos="5040" w:leader="none"/>
          <w:tab w:val="left" w:pos="8640" w:leader="none"/>
        </w:tabs>
        <w:ind w:firstLine="3960" w:end="0"/>
        <w:jc w:val="both"/>
        <w:rPr>
          <w:rFonts w:ascii="Arial" w:hAnsi="Arial" w:cs="Arial"/>
          <w:i/>
          <w:i/>
          <w:sz w:val="22"/>
        </w:rPr>
      </w:pPr>
      <w:r>
        <w:rPr>
          <w:rFonts w:cs="Arial" w:ascii="Arial" w:hAnsi="Arial"/>
          <w:i/>
          <w:sz w:val="22"/>
        </w:rPr>
        <w:tab/>
        <w:t>"Buyer"</w:t>
      </w:r>
    </w:p>
    <w:p>
      <w:pPr>
        <w:pStyle w:val="Normal"/>
        <w:tabs>
          <w:tab w:val="left" w:pos="720" w:leader="none"/>
          <w:tab w:val="left" w:pos="1440" w:leader="none"/>
          <w:tab w:val="left" w:pos="2160" w:leader="none"/>
          <w:tab w:val="left" w:pos="8640" w:leader="none"/>
        </w:tabs>
        <w:ind w:firstLine="3960" w:end="0"/>
        <w:jc w:val="both"/>
        <w:rPr>
          <w:rFonts w:ascii="Arial" w:hAnsi="Arial" w:cs="Arial"/>
          <w:i/>
          <w:i/>
          <w:sz w:val="22"/>
        </w:rPr>
      </w:pPr>
      <w:r>
        <w:rPr>
          <w:rFonts w:cs="Arial" w:ascii="Arial" w:hAnsi="Arial"/>
          <w:i/>
          <w:sz w:val="22"/>
        </w:rPr>
      </w:r>
    </w:p>
    <w:p>
      <w:pPr>
        <w:pStyle w:val="Normal"/>
        <w:tabs>
          <w:tab w:val="left" w:pos="720" w:leader="none"/>
          <w:tab w:val="left" w:pos="1440" w:leader="none"/>
          <w:tab w:val="left" w:pos="2160" w:leader="none"/>
          <w:tab w:val="left" w:pos="8640" w:leader="none"/>
        </w:tabs>
        <w:ind w:start="3960" w:end="0"/>
        <w:rPr>
          <w:rFonts w:ascii="Arial" w:hAnsi="Arial" w:cs="Arial"/>
          <w:b/>
          <w:sz w:val="22"/>
        </w:rPr>
      </w:pPr>
      <w:r>
        <w:rPr>
          <w:rFonts w:cs="Arial" w:ascii="Arial" w:hAnsi="Arial"/>
          <w:b/>
          <w:sz w:val="22"/>
        </w:rPr>
        <w:t>ENRON COMPRESSION SERVICES COMPANY</w:t>
      </w:r>
    </w:p>
    <w:p>
      <w:pPr>
        <w:pStyle w:val="Normal"/>
        <w:tabs>
          <w:tab w:val="left" w:pos="720" w:leader="none"/>
          <w:tab w:val="left" w:pos="1440" w:leader="none"/>
          <w:tab w:val="left" w:pos="2160" w:leader="none"/>
          <w:tab w:val="left" w:pos="8640" w:leader="none"/>
        </w:tabs>
        <w:ind w:firstLine="3960" w:end="0"/>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8640" w:leader="none"/>
        </w:tabs>
        <w:ind w:firstLine="3960" w:end="0"/>
        <w:jc w:val="both"/>
        <w:rPr>
          <w:rFonts w:ascii="Arial" w:hAnsi="Arial" w:cs="Arial"/>
          <w:b/>
          <w:sz w:val="22"/>
        </w:rPr>
      </w:pPr>
      <w:r>
        <w:rPr>
          <w:rFonts w:cs="Arial" w:ascii="Arial" w:hAnsi="Arial"/>
          <w:b/>
          <w:sz w:val="22"/>
        </w:rPr>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t>By:</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t>Name:</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jc w:val="both"/>
        <w:rPr/>
      </w:pPr>
      <w:r>
        <w:rPr>
          <w:rFonts w:cs="Arial" w:ascii="Arial" w:hAnsi="Arial"/>
          <w:sz w:val="22"/>
        </w:rPr>
        <w:t>Title:</w:t>
      </w:r>
      <w:r>
        <w:rPr>
          <w:rFonts w:cs="Arial" w:ascii="Arial" w:hAnsi="Arial"/>
          <w:sz w:val="22"/>
          <w:u w:val="single"/>
        </w:rPr>
        <w:tab/>
      </w:r>
    </w:p>
    <w:p>
      <w:pPr>
        <w:pStyle w:val="Normal"/>
        <w:tabs>
          <w:tab w:val="left" w:pos="720" w:leader="none"/>
          <w:tab w:val="left" w:pos="1440" w:leader="none"/>
          <w:tab w:val="left" w:pos="2160" w:leader="none"/>
          <w:tab w:val="left" w:pos="8640" w:leader="none"/>
          <w:tab w:val="right" w:pos="9360" w:leader="none"/>
        </w:tabs>
        <w:ind w:firstLine="3960" w:end="0"/>
        <w:rPr>
          <w:rFonts w:ascii="Arial" w:hAnsi="Arial" w:cs="Arial"/>
          <w:sz w:val="22"/>
          <w:u w:val="single"/>
        </w:rPr>
      </w:pPr>
      <w:r>
        <w:rPr>
          <w:rFonts w:cs="Arial" w:ascii="Arial" w:hAnsi="Arial"/>
          <w:sz w:val="22"/>
          <w:u w:val="single"/>
        </w:rPr>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u w:val="single"/>
        </w:rPr>
      </w:pPr>
      <w:r>
        <w:rPr>
          <w:rFonts w:cs="Arial" w:ascii="Arial" w:hAnsi="Arial"/>
          <w:sz w:val="22"/>
          <w:u w:val="single"/>
        </w:rPr>
      </w:r>
    </w:p>
    <w:p>
      <w:p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left" w:pos="720" w:leader="none"/>
          <w:tab w:val="left" w:pos="1440" w:leader="none"/>
          <w:tab w:val="left" w:pos="2160" w:leader="none"/>
          <w:tab w:val="left" w:pos="8640" w:leader="none"/>
          <w:tab w:val="right" w:pos="9360" w:leader="none"/>
        </w:tabs>
        <w:ind w:firstLine="3960" w:end="0"/>
        <w:jc w:val="both"/>
        <w:rPr>
          <w:rFonts w:ascii="Arial" w:hAnsi="Arial" w:cs="Arial"/>
          <w:sz w:val="22"/>
        </w:rPr>
      </w:pPr>
      <w:r>
        <w:rPr>
          <w:rFonts w:cs="Arial" w:ascii="Arial" w:hAnsi="Arial"/>
          <w:sz w:val="22"/>
        </w:rPr>
      </w:r>
    </w:p>
    <w:p>
      <w:pPr>
        <w:pStyle w:val="Normal"/>
        <w:jc w:val="center"/>
        <w:rPr>
          <w:rFonts w:ascii="Arial" w:hAnsi="Arial" w:cs="Arial"/>
          <w:b/>
          <w:sz w:val="22"/>
        </w:rPr>
      </w:pPr>
      <w:r>
        <w:rPr>
          <w:rFonts w:cs="Arial" w:ascii="Arial" w:hAnsi="Arial"/>
          <w:b/>
          <w:sz w:val="22"/>
        </w:rPr>
        <w:t>EXHIBIT "A"</w:t>
      </w:r>
    </w:p>
    <w:p>
      <w:pPr>
        <w:pStyle w:val="Normal"/>
        <w:jc w:val="center"/>
        <w:rPr>
          <w:rFonts w:ascii="Arial" w:hAnsi="Arial" w:cs="Arial"/>
          <w:sz w:val="22"/>
        </w:rPr>
      </w:pPr>
      <w:r>
        <w:rPr>
          <w:rFonts w:cs="Arial" w:ascii="Arial" w:hAnsi="Arial"/>
          <w:sz w:val="22"/>
        </w:rPr>
        <w:t>to</w:t>
      </w:r>
    </w:p>
    <w:p>
      <w:pPr>
        <w:pStyle w:val="Normal"/>
        <w:jc w:val="center"/>
        <w:rPr>
          <w:rFonts w:ascii="Arial" w:hAnsi="Arial" w:cs="Arial"/>
          <w:sz w:val="22"/>
        </w:rPr>
      </w:pPr>
      <w:r>
        <w:rPr>
          <w:rFonts w:cs="Arial" w:ascii="Arial" w:hAnsi="Arial"/>
          <w:sz w:val="22"/>
        </w:rPr>
        <w:t>Bill of Sale</w:t>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r>
    </w:p>
    <w:p>
      <w:pPr>
        <w:pStyle w:val="Normal"/>
        <w:jc w:val="center"/>
        <w:rPr>
          <w:rFonts w:ascii="Arial" w:hAnsi="Arial" w:cs="Arial"/>
          <w:b/>
          <w:sz w:val="22"/>
          <w:u w:val="single"/>
        </w:rPr>
      </w:pPr>
      <w:r>
        <w:rPr>
          <w:rFonts w:cs="Arial" w:ascii="Arial" w:hAnsi="Arial"/>
          <w:b/>
          <w:sz w:val="22"/>
          <w:u w:val="single"/>
        </w:rPr>
        <w:t>Description of Electric Motor Driver (Bloomfield Station)</w:t>
      </w:r>
    </w:p>
    <w:p>
      <w:pPr>
        <w:pStyle w:val="Normal"/>
        <w:jc w:val="center"/>
        <w:rPr>
          <w:rFonts w:ascii="Arial" w:hAnsi="Arial" w:cs="Arial"/>
          <w:b/>
          <w:sz w:val="22"/>
          <w:u w:val="single"/>
        </w:rPr>
      </w:pPr>
      <w:r>
        <w:rPr>
          <w:rFonts w:cs="Arial" w:ascii="Arial" w:hAnsi="Arial"/>
          <w:b/>
          <w:sz w:val="22"/>
          <w:u w:val="single"/>
        </w:rPr>
      </w:r>
    </w:p>
    <w:p>
      <w:pPr>
        <w:pStyle w:val="Normal"/>
        <w:jc w:val="center"/>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tab/>
        <w:tab/>
        <w:t>Electric Motor – 7000 HP</w:t>
      </w:r>
    </w:p>
    <w:p>
      <w:pPr>
        <w:pStyle w:val="Normal"/>
        <w:rPr>
          <w:rFonts w:ascii="Arial" w:hAnsi="Arial" w:cs="Arial"/>
          <w:sz w:val="22"/>
        </w:rPr>
      </w:pPr>
      <w:r>
        <w:rPr>
          <w:rFonts w:cs="Arial" w:ascii="Arial" w:hAnsi="Arial"/>
          <w:sz w:val="22"/>
        </w:rPr>
        <w:tab/>
        <w:tab/>
        <w:t>Variable Frequency Drive – 7000 HP</w:t>
      </w:r>
    </w:p>
    <w:p>
      <w:pPr>
        <w:pStyle w:val="Normal"/>
        <w:rPr>
          <w:rFonts w:ascii="Arial" w:hAnsi="Arial" w:cs="Arial"/>
          <w:sz w:val="22"/>
        </w:rPr>
      </w:pPr>
      <w:r>
        <w:rPr>
          <w:rFonts w:cs="Arial" w:ascii="Arial" w:hAnsi="Arial"/>
          <w:sz w:val="22"/>
        </w:rPr>
        <w:tab/>
        <w:tab/>
        <w:t>Harmonic Filter and Power Factor Correction</w:t>
      </w:r>
    </w:p>
    <w:p>
      <w:pPr>
        <w:pStyle w:val="Normal"/>
        <w:rPr>
          <w:rFonts w:ascii="Arial" w:hAnsi="Arial" w:cs="Arial"/>
          <w:sz w:val="22"/>
        </w:rPr>
      </w:pPr>
      <w:r>
        <w:rPr>
          <w:rFonts w:cs="Arial" w:ascii="Arial" w:hAnsi="Arial"/>
          <w:sz w:val="22"/>
        </w:rPr>
        <w:tab/>
        <w:tab/>
        <w:t>Isolation Transformer</w:t>
      </w:r>
    </w:p>
    <w:p>
      <w:pPr>
        <w:pStyle w:val="Normal"/>
        <w:rPr>
          <w:rFonts w:ascii="Arial" w:hAnsi="Arial" w:cs="Arial"/>
          <w:sz w:val="22"/>
        </w:rPr>
      </w:pPr>
      <w:r>
        <w:rPr>
          <w:rFonts w:cs="Arial" w:ascii="Arial" w:hAnsi="Arial"/>
          <w:sz w:val="22"/>
        </w:rPr>
        <w:tab/>
        <w:tab/>
        <w:t>115 KV Substation</w:t>
      </w:r>
    </w:p>
    <w:p>
      <w:pPr>
        <w:pStyle w:val="Normal"/>
        <w:rPr>
          <w:rFonts w:ascii="Arial" w:hAnsi="Arial" w:cs="Arial"/>
          <w:sz w:val="22"/>
        </w:rPr>
      </w:pPr>
      <w:r>
        <w:rPr>
          <w:rFonts w:cs="Arial" w:ascii="Arial" w:hAnsi="Arial"/>
          <w:sz w:val="22"/>
        </w:rPr>
        <w:tab/>
        <w:tab/>
        <w:t>Electric Engineering Equipement:</w:t>
      </w:r>
    </w:p>
    <w:p>
      <w:pPr>
        <w:pStyle w:val="Normal"/>
        <w:rPr>
          <w:rFonts w:ascii="Arial" w:hAnsi="Arial" w:cs="Arial"/>
          <w:sz w:val="22"/>
        </w:rPr>
      </w:pPr>
      <w:r>
        <w:rPr>
          <w:rFonts w:cs="Arial" w:ascii="Arial" w:hAnsi="Arial"/>
          <w:sz w:val="22"/>
        </w:rPr>
        <w:tab/>
        <w:tab/>
        <w:tab/>
        <w:t>12470V/480V750KVA MCC Transformer</w:t>
      </w:r>
    </w:p>
    <w:p>
      <w:pPr>
        <w:pStyle w:val="Normal"/>
        <w:rPr>
          <w:rFonts w:ascii="Arial" w:hAnsi="Arial" w:cs="Arial"/>
          <w:sz w:val="22"/>
        </w:rPr>
      </w:pPr>
      <w:r>
        <w:rPr>
          <w:rFonts w:cs="Arial" w:ascii="Arial" w:hAnsi="Arial"/>
          <w:sz w:val="22"/>
        </w:rPr>
        <w:tab/>
        <w:tab/>
        <w:tab/>
        <w:t>480 V Motor Control Center</w:t>
      </w:r>
    </w:p>
    <w:p>
      <w:pPr>
        <w:pStyle w:val="Normal"/>
        <w:rPr>
          <w:rFonts w:ascii="Arial" w:hAnsi="Arial" w:cs="Arial"/>
          <w:sz w:val="22"/>
        </w:rPr>
      </w:pPr>
      <w:r>
        <w:rPr>
          <w:rFonts w:cs="Arial" w:ascii="Arial" w:hAnsi="Arial"/>
          <w:sz w:val="22"/>
        </w:rPr>
        <w:tab/>
        <w:tab/>
        <w:tab/>
        <w:t>Fire &amp; Gas Detection System</w:t>
        <w:tab/>
        <w:tab/>
      </w:r>
    </w:p>
    <w:p>
      <w:pPr>
        <w:pStyle w:val="Normal"/>
        <w:rPr>
          <w:rFonts w:ascii="Arial" w:hAnsi="Arial" w:cs="Arial"/>
          <w:sz w:val="22"/>
        </w:rPr>
      </w:pPr>
      <w:r>
        <w:rPr>
          <w:rFonts w:cs="Arial" w:ascii="Arial" w:hAnsi="Arial"/>
          <w:sz w:val="22"/>
        </w:rPr>
        <w:tab/>
        <w:tab/>
        <w:tab/>
        <w:t>ESD/BSD Panel</w:t>
      </w:r>
    </w:p>
    <w:p>
      <w:pPr>
        <w:pStyle w:val="Normal"/>
        <w:rPr>
          <w:rFonts w:ascii="Arial" w:hAnsi="Arial" w:cs="Arial"/>
          <w:sz w:val="22"/>
        </w:rPr>
      </w:pPr>
      <w:r>
        <w:rPr>
          <w:rFonts w:cs="Arial" w:ascii="Arial" w:hAnsi="Arial"/>
          <w:sz w:val="22"/>
        </w:rPr>
        <w:tab/>
        <w:tab/>
        <w:tab/>
        <w:t>5 KVA AC/DC UPS System</w:t>
      </w:r>
    </w:p>
    <w:p>
      <w:pPr>
        <w:pStyle w:val="Normal"/>
        <w:rPr>
          <w:rFonts w:ascii="Arial" w:hAnsi="Arial" w:cs="Arial"/>
          <w:sz w:val="22"/>
        </w:rPr>
      </w:pPr>
      <w:r>
        <w:rPr>
          <w:rFonts w:cs="Arial" w:ascii="Arial" w:hAnsi="Arial"/>
          <w:sz w:val="22"/>
        </w:rPr>
        <w:tab/>
        <w:tab/>
        <w:tab/>
        <w:t>Intrusion System</w:t>
        <w:tab/>
        <w:tab/>
      </w:r>
    </w:p>
    <w:p>
      <w:pPr>
        <w:pStyle w:val="Normal"/>
        <w:jc w:val="center"/>
        <w:rPr>
          <w:rFonts w:ascii="Arial" w:hAnsi="Arial" w:cs="Arial"/>
          <w:sz w:val="22"/>
        </w:rPr>
      </w:pPr>
      <w:r>
        <w:rPr>
          <w:rFonts w:cs="Arial" w:ascii="Arial" w:hAnsi="Arial"/>
          <w:sz w:val="22"/>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/mnt/main-storage/datasets/enron-docs/doc/Bloomfield_Bill_of_Sale.doc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/mnt/main-storage/datasets/enron-docs/doc/Bloomfield_Bill_of_Sale.doc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left" w:pos="720" w:leader="none"/>
        <w:tab w:val="left" w:pos="1440" w:leader="none"/>
        <w:tab w:val="left" w:pos="2160" w:leader="none"/>
        <w:tab w:val="left" w:pos="5040" w:leader="none"/>
        <w:tab w:val="left" w:pos="5760" w:leader="none"/>
        <w:tab w:val="left" w:pos="6480" w:leader="none"/>
      </w:tabs>
      <w:jc w:val="center"/>
    </w:pPr>
    <w:rPr>
      <w:rFonts w:ascii="Arial" w:hAnsi="Arial" w:cs="Arial"/>
      <w:b/>
    </w:rPr>
  </w:style>
  <w:style w:type="paragraph" w:styleId="BodyText">
    <w:name w:val="Body Text"/>
    <w:basedOn w:val="Normal"/>
    <w:pPr>
      <w:jc w:val="both"/>
    </w:pPr>
    <w:rPr>
      <w:rFonts w:ascii="Arial" w:hAnsi="Arial" w:cs="Arial"/>
      <w:color w:val="00008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firstLine="720" w:start="0" w:end="0"/>
      <w:jc w:val="both"/>
    </w:pPr>
    <w:rPr>
      <w:rFonts w:ascii="Arial" w:hAnsi="Arial" w:cs="Arial"/>
      <w:sz w:val="20"/>
    </w:rPr>
  </w:style>
  <w:style w:type="paragraph" w:styleId="NormalIndent">
    <w:name w:val="Normal Indent"/>
    <w:basedOn w:val="Normal"/>
    <w:qFormat/>
    <w:pPr>
      <w:ind w:hanging="0" w:start="720" w:end="0"/>
    </w:pPr>
    <w:rPr/>
  </w:style>
  <w:style w:type="paragraph" w:styleId="BodyTextIndent">
    <w:name w:val="Body Text Indent"/>
    <w:basedOn w:val="Normal"/>
    <w:pPr>
      <w:tabs>
        <w:tab w:val="left" w:pos="720" w:leader="none"/>
        <w:tab w:val="left" w:pos="1440" w:leader="none"/>
        <w:tab w:val="left" w:pos="2160" w:leader="none"/>
        <w:tab w:val="left" w:pos="8640" w:leader="none"/>
      </w:tabs>
      <w:ind w:hanging="0" w:start="3960" w:end="0"/>
      <w:jc w:val="both"/>
    </w:pPr>
    <w:rPr>
      <w:rFonts w:ascii="Arial" w:hAnsi="Arial" w:cs="Arial"/>
      <w:b/>
      <w:color w:val="000080"/>
      <w:sz w:val="22"/>
    </w:rPr>
  </w:style>
  <w:style w:type="paragraph" w:styleId="BodyTextIndent2">
    <w:name w:val="Body Text Indent 2"/>
    <w:basedOn w:val="Normal"/>
    <w:qFormat/>
    <w:pPr>
      <w:ind w:firstLine="720" w:start="0" w:end="0"/>
      <w:jc w:val="both"/>
    </w:pPr>
    <w:rPr>
      <w:rFonts w:ascii="Arial" w:hAnsi="Arial" w:cs="Arial"/>
    </w:rPr>
  </w:style>
  <w:style w:type="paragraph" w:styleId="BodyTextIndent3">
    <w:name w:val="Body Text Indent 3"/>
    <w:basedOn w:val="Normal"/>
    <w:qFormat/>
    <w:pPr>
      <w:ind w:firstLine="720" w:start="0" w:end="0"/>
      <w:jc w:val="both"/>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1999-06-09T13:23:00Z</dcterms:created>
  <dc:creator>ECT</dc:creator>
  <dc:description/>
  <dc:language>en-CA</dc:language>
  <cp:lastModifiedBy>gnemec</cp:lastModifiedBy>
  <cp:lastPrinted>1999-06-09T10:56:00Z</cp:lastPrinted>
  <dcterms:modified xsi:type="dcterms:W3CDTF">1999-06-09T16:32:00Z</dcterms:modified>
  <cp:revision>4</cp:revision>
  <dc:subject/>
  <dc:title>CONVEYANCE AND BILL OF SALE</dc:title>
</cp:coreProperties>
</file>