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p>
      <w:pPr>
        <w:pStyle w:val="Normal"/>
        <w:rPr/>
      </w:pPr>
      <w:r>
        <w:rPr/>
      </w:r>
    </w:p>
    <w:tbl>
      <w:tblPr>
        <w:tblW w:w="11063" w:type="dxa"/>
        <w:jc w:val="start"/>
        <w:tblInd w:w="200" w:type="dxa"/>
        <w:tblLayout w:type="fixed"/>
        <w:tblCellMar>
          <w:top w:w="0" w:type="dxa"/>
          <w:start w:w="108" w:type="dxa"/>
          <w:bottom w:w="0" w:type="dxa"/>
          <w:end w:w="108" w:type="dxa"/>
        </w:tblCellMar>
      </w:tblPr>
      <w:tblGrid>
        <w:gridCol w:w="898"/>
        <w:gridCol w:w="6045"/>
        <w:gridCol w:w="1155"/>
        <w:gridCol w:w="2965"/>
      </w:tblGrid>
      <w:tr>
        <w:trPr/>
        <w:tc>
          <w:tcPr>
            <w:tcW w:w="898" w:type="dxa"/>
            <w:tcBorders/>
          </w:tcPr>
          <w:p>
            <w:pPr>
              <w:pStyle w:val="Normal"/>
              <w:spacing w:before="0" w:after="120"/>
              <w:ind w:start="-180" w:end="0"/>
              <w:jc w:val="end"/>
              <w:rPr>
                <w:b/>
                <w:bCs/>
                <w:sz w:val="16"/>
              </w:rPr>
            </w:pPr>
            <w:r>
              <w:rPr>
                <w:b/>
                <w:bCs/>
                <w:sz w:val="16"/>
              </w:rPr>
              <w:t>To:</w:t>
            </w:r>
          </w:p>
        </w:tc>
        <w:tc>
          <w:tcPr>
            <w:tcW w:w="6045" w:type="dxa"/>
            <w:tcBorders/>
          </w:tcPr>
          <w:p>
            <w:pPr>
              <w:pStyle w:val="To"/>
              <w:spacing w:before="0" w:after="120"/>
              <w:rPr/>
            </w:pPr>
            <w:r>
              <w:rPr/>
              <w:t>Rick Shapiro</w:t>
            </w:r>
          </w:p>
        </w:tc>
        <w:tc>
          <w:tcPr>
            <w:tcW w:w="1155" w:type="dxa"/>
            <w:tcBorders/>
          </w:tcPr>
          <w:p>
            <w:pPr>
              <w:pStyle w:val="Normal"/>
              <w:snapToGrid w:val="false"/>
              <w:spacing w:before="0" w:after="120"/>
              <w:ind w:start="-180" w:end="0"/>
              <w:rPr>
                <w:b/>
                <w:bCs/>
              </w:rPr>
            </w:pPr>
            <w:r>
              <w:rPr>
                <w:b/>
                <w:bCs/>
              </w:rPr>
            </w:r>
          </w:p>
        </w:tc>
        <w:tc>
          <w:tcPr>
            <w:tcW w:w="2965" w:type="dxa"/>
            <w:tcBorders/>
          </w:tcPr>
          <w:p>
            <w:pPr>
              <w:pStyle w:val="Normal"/>
              <w:snapToGrid w:val="false"/>
              <w:spacing w:before="0" w:after="120"/>
              <w:rPr>
                <w:b/>
                <w:bCs/>
              </w:rPr>
            </w:pPr>
            <w:r>
              <w:rPr>
                <w:b/>
                <w:bCs/>
              </w:rPr>
            </w:r>
          </w:p>
        </w:tc>
      </w:tr>
      <w:tr>
        <w:trPr/>
        <w:tc>
          <w:tcPr>
            <w:tcW w:w="898" w:type="dxa"/>
            <w:tcBorders/>
          </w:tcPr>
          <w:p>
            <w:pPr>
              <w:pStyle w:val="Normal"/>
              <w:spacing w:before="0" w:after="120"/>
              <w:ind w:start="-180" w:end="0"/>
              <w:jc w:val="end"/>
              <w:rPr>
                <w:b/>
                <w:bCs/>
                <w:sz w:val="16"/>
              </w:rPr>
            </w:pPr>
            <w:r>
              <w:rPr>
                <w:b/>
                <w:bCs/>
                <w:sz w:val="16"/>
              </w:rPr>
              <w:t>From:</w:t>
            </w:r>
          </w:p>
        </w:tc>
        <w:tc>
          <w:tcPr>
            <w:tcW w:w="6045" w:type="dxa"/>
            <w:tcBorders/>
          </w:tcPr>
          <w:p>
            <w:pPr>
              <w:pStyle w:val="From"/>
              <w:spacing w:before="0" w:after="120"/>
              <w:rPr/>
            </w:pPr>
            <w:r>
              <w:rPr/>
              <w:t>Rebecca W. Cantrell</w:t>
            </w:r>
          </w:p>
        </w:tc>
        <w:tc>
          <w:tcPr>
            <w:tcW w:w="1155" w:type="dxa"/>
            <w:tcBorders/>
          </w:tcPr>
          <w:p>
            <w:pPr>
              <w:pStyle w:val="Normal"/>
              <w:spacing w:before="0" w:after="120"/>
              <w:ind w:start="-180" w:end="0"/>
              <w:jc w:val="end"/>
              <w:rPr>
                <w:b/>
                <w:bCs/>
                <w:sz w:val="16"/>
              </w:rPr>
            </w:pPr>
            <w:r>
              <w:rPr>
                <w:b/>
                <w:bCs/>
                <w:sz w:val="16"/>
              </w:rPr>
              <w:t>Department:</w:t>
            </w:r>
          </w:p>
        </w:tc>
        <w:tc>
          <w:tcPr>
            <w:tcW w:w="2965" w:type="dxa"/>
            <w:tcBorders/>
          </w:tcPr>
          <w:p>
            <w:pPr>
              <w:pStyle w:val="Department"/>
              <w:spacing w:before="0" w:after="120"/>
              <w:rPr/>
            </w:pPr>
            <w:bookmarkStart w:id="0" w:name="From"/>
            <w:bookmarkEnd w:id="0"/>
            <w:r>
              <w:rPr/>
              <w:t>Government Affairs – The Americas</w:t>
            </w:r>
          </w:p>
        </w:tc>
      </w:tr>
      <w:tr>
        <w:trPr/>
        <w:tc>
          <w:tcPr>
            <w:tcW w:w="898" w:type="dxa"/>
            <w:tcBorders/>
          </w:tcPr>
          <w:p>
            <w:pPr>
              <w:pStyle w:val="Normal"/>
              <w:spacing w:before="0" w:after="120"/>
              <w:ind w:start="-180" w:end="0"/>
              <w:jc w:val="end"/>
              <w:rPr>
                <w:b/>
                <w:bCs/>
                <w:sz w:val="16"/>
              </w:rPr>
            </w:pPr>
            <w:r>
              <w:rPr>
                <w:b/>
                <w:bCs/>
                <w:sz w:val="16"/>
              </w:rPr>
              <w:t>Subject:</w:t>
            </w:r>
          </w:p>
        </w:tc>
        <w:tc>
          <w:tcPr>
            <w:tcW w:w="6045" w:type="dxa"/>
            <w:tcBorders/>
          </w:tcPr>
          <w:p>
            <w:pPr>
              <w:pStyle w:val="Subject"/>
              <w:spacing w:before="0" w:after="120"/>
              <w:rPr/>
            </w:pPr>
            <w:r>
              <w:rPr/>
              <w:t>Turnback of El Paso Block II Capacity</w:t>
            </w:r>
          </w:p>
        </w:tc>
        <w:tc>
          <w:tcPr>
            <w:tcW w:w="1155" w:type="dxa"/>
            <w:tcBorders/>
          </w:tcPr>
          <w:p>
            <w:pPr>
              <w:pStyle w:val="Normal"/>
              <w:spacing w:before="0" w:after="120"/>
              <w:ind w:start="-180" w:end="0"/>
              <w:jc w:val="end"/>
              <w:rPr>
                <w:b/>
                <w:bCs/>
                <w:sz w:val="16"/>
              </w:rPr>
            </w:pPr>
            <w:r>
              <w:rPr>
                <w:b/>
                <w:bCs/>
                <w:sz w:val="16"/>
              </w:rPr>
              <w:t>Date:</w:t>
            </w:r>
          </w:p>
        </w:tc>
        <w:tc>
          <w:tcPr>
            <w:tcW w:w="2965" w:type="dxa"/>
            <w:tcBorders/>
          </w:tcPr>
          <w:p>
            <w:pPr>
              <w:pStyle w:val="Date"/>
              <w:spacing w:before="0" w:after="120"/>
              <w:rPr/>
            </w:pPr>
            <w:r>
              <w:rPr/>
              <w:t>September 24, 2001</w:t>
            </w:r>
          </w:p>
        </w:tc>
      </w:tr>
    </w:tbl>
    <w:p>
      <w:pPr>
        <w:pStyle w:val="Body"/>
        <w:rPr/>
      </w:pPr>
      <w:r>
        <w:rPr/>
      </w:r>
      <w:bookmarkStart w:id="1" w:name="StartOfMemo"/>
      <w:bookmarkStart w:id="2" w:name="StartOfMemo"/>
      <w:bookmarkEnd w:id="2"/>
    </w:p>
    <w:p>
      <w:pPr>
        <w:pStyle w:val="Normal"/>
        <w:rPr>
          <w:rFonts w:cs="Arial;Arial"/>
          <w:sz w:val="18"/>
        </w:rPr>
      </w:pPr>
      <w:r>
        <w:rPr>
          <w:rFonts w:cs="Arial;Arial"/>
          <w:sz w:val="18"/>
        </w:rPr>
        <w:t>Effective June 1, 2001, ENA acquired, along with two other packages, 200,000 MMBtu per day of the Block II capacity formerly held by El Paso Merchant Energy (EPME) on El Paso Natural Gas’s system with a delivery point to PG&amp;E at Topock.  EPME did not exercise its right of first refusal at the end of its contract term, and the capacity was offered under a new open season.  Open season bidding took place when  gas prices for delivery into California were at record highs.  ENA’s contract is at the maximum rate, which was justified at the time due to the high basis differentials between the supply basins and the California border.  Gas prices went down significantly between the time ENA made its binding bid and the time the contract was awarded  The deal is not hedged.</w:t>
      </w:r>
    </w:p>
    <w:p>
      <w:pPr>
        <w:pStyle w:val="Normal"/>
        <w:rPr>
          <w:rFonts w:cs="Arial;Arial"/>
          <w:sz w:val="18"/>
        </w:rPr>
      </w:pPr>
      <w:r>
        <w:rPr>
          <w:rFonts w:cs="Arial;Arial"/>
          <w:sz w:val="18"/>
        </w:rPr>
      </w:r>
    </w:p>
    <w:p>
      <w:pPr>
        <w:pStyle w:val="Normal"/>
        <w:rPr>
          <w:rFonts w:cs="Arial;Arial"/>
          <w:sz w:val="18"/>
        </w:rPr>
      </w:pPr>
      <w:r>
        <w:rPr>
          <w:rFonts w:cs="Arial;Arial"/>
          <w:sz w:val="18"/>
        </w:rPr>
        <w:t>ENA has tried to shed this capacity and has posted it under El Paso’s capacity release provisions.  The other two packages have been released to third parties, but ENA has received no bids for the Block II capacity nor have they been able to generate any interest from parties they have privately solicited.  One of the reasons, presumably, is because the Block II capacity is subject to recall by any entity to serve Northern California PG&amp;E markets.</w:t>
      </w:r>
    </w:p>
    <w:p>
      <w:pPr>
        <w:pStyle w:val="Normal"/>
        <w:rPr>
          <w:rFonts w:cs="Arial;Arial"/>
          <w:sz w:val="18"/>
        </w:rPr>
      </w:pPr>
      <w:r>
        <w:rPr>
          <w:rFonts w:cs="Arial;Arial"/>
          <w:sz w:val="18"/>
        </w:rPr>
      </w:r>
    </w:p>
    <w:p>
      <w:pPr>
        <w:pStyle w:val="Normal"/>
        <w:rPr>
          <w:rFonts w:cs="Arial;Arial"/>
          <w:sz w:val="18"/>
        </w:rPr>
      </w:pPr>
      <w:r>
        <w:rPr>
          <w:rFonts w:cs="Arial;Arial"/>
          <w:sz w:val="18"/>
        </w:rPr>
        <w:t>The Block II capacity recall was a condition agreed to in the settlement of El Paso’s 1995 rate case as an inducement to get PG&amp;E and the CPUC on board with PG&amp;E’s payment of $58 million in surcharges before PG&amp;E’s contract expired under its own terms, surcharges which PG&amp;E would not have otherwise been subject to.  The Block II capacity has system-wide primary receipt point access, including the San Juan production area where gas is much cheaper than other points on El Paso’s system, which was an issue of great concern to PG&amp;E and the CPUC.  The restriction assured PG&amp;E and the CPUC that PG&amp;E customers would have this access for the full term of the settlement by including a provision that any shipper who needed capacity to the PG&amp;E market could require El Paso to recall the capacity from any other shipper to whom it had sold the capacity, if the capacity was not being used to serve a PG&amp;E market.</w:t>
      </w:r>
    </w:p>
    <w:p>
      <w:pPr>
        <w:pStyle w:val="Normal"/>
        <w:rPr>
          <w:rFonts w:cs="Arial;Arial"/>
          <w:sz w:val="18"/>
        </w:rPr>
      </w:pPr>
      <w:r>
        <w:rPr>
          <w:rFonts w:cs="Arial;Arial"/>
          <w:sz w:val="18"/>
        </w:rPr>
      </w:r>
    </w:p>
    <w:p>
      <w:pPr>
        <w:pStyle w:val="Normal"/>
        <w:rPr>
          <w:rFonts w:cs="Arial;Arial"/>
          <w:sz w:val="18"/>
        </w:rPr>
      </w:pPr>
      <w:r>
        <w:rPr>
          <w:rFonts w:cs="Arial;Arial"/>
          <w:sz w:val="18"/>
        </w:rPr>
        <w:t>Several complaints have been filed with FERC which are now addressing, among other things, whether El Paso has enough system capacity to serve all of its firm customers.  One complicating factor is El Paso’s “full requirements” customers, who do not have a specified contract quantity.  Rather, El Paso is obligated to transport all of their daily requirements subject only to the customers’ facility restrictions.  The full requirements customers all have delivery points east of California and their demand charges for firm service are based on a “billing determinant” which was established in the settlement and is derived loosely from their peak day usage for a specified period of time prior to the filing of the rate case.  Their demand generally has increased substantially since 1995.  When they transport a greater volume than their BD, they pay only the variable charges.</w:t>
      </w:r>
    </w:p>
    <w:p>
      <w:pPr>
        <w:pStyle w:val="Normal"/>
        <w:rPr>
          <w:rFonts w:cs="Arial;Arial"/>
          <w:sz w:val="18"/>
        </w:rPr>
      </w:pPr>
      <w:r>
        <w:rPr>
          <w:rFonts w:cs="Arial;Arial"/>
          <w:sz w:val="18"/>
        </w:rPr>
      </w:r>
    </w:p>
    <w:p>
      <w:pPr>
        <w:pStyle w:val="Normal"/>
        <w:rPr>
          <w:rFonts w:cs="Arial;Arial"/>
          <w:sz w:val="18"/>
        </w:rPr>
      </w:pPr>
      <w:r>
        <w:rPr>
          <w:rFonts w:cs="Arial;Arial"/>
          <w:sz w:val="18"/>
        </w:rPr>
        <w:t xml:space="preserve">FERC has told El Paso to allocate specific receipt point rights to their firm shippers, and this will have the effect of establishing a contract entitlement for the full requirements shippers.  Many of them are currently shipping a much larger volume than their BD and are concerned that they will be left with no access to gas for their customers, including a number of planned generation plants.  Thus, they are making an issue about El Paso’s system capacity shortfall and have urged FERC to require El Paso to expand its system sufficiently to meet its firm commitments.  </w:t>
      </w:r>
    </w:p>
    <w:p>
      <w:pPr>
        <w:pStyle w:val="Normal"/>
        <w:rPr>
          <w:rFonts w:cs="Arial;Arial"/>
          <w:sz w:val="18"/>
        </w:rPr>
      </w:pPr>
      <w:r>
        <w:rPr>
          <w:rFonts w:cs="Arial;Arial"/>
          <w:sz w:val="18"/>
        </w:rPr>
      </w:r>
    </w:p>
    <w:p>
      <w:pPr>
        <w:pStyle w:val="Normal"/>
        <w:rPr/>
      </w:pPr>
      <w:r>
        <w:rPr>
          <w:rFonts w:cs="Arial;Arial"/>
          <w:sz w:val="18"/>
        </w:rPr>
        <w:t xml:space="preserve">In our pleadings in the El Paso proceedings, we are strongly suggesting that FERC should require El Paso to give its current firm shippers the opportunity to turn back their capacity in order to reduce the amount of expansion capacity El Paso would have to add.  Such a requirement would give ENA the opportunity to turn back to El Paso its unwanted Block II capacity.  However, even if this rationalization of capacity occurs, El Paso might be able to reject ENA’s turnback for two reasons.  The first is that it </w:t>
      </w:r>
      <w:r>
        <w:rPr>
          <w:rFonts w:cs="Arial;Arial"/>
          <w:sz w:val="18"/>
          <w:u w:val="single"/>
        </w:rPr>
        <w:t>is</w:t>
      </w:r>
      <w:r>
        <w:rPr>
          <w:rFonts w:cs="Arial;Arial"/>
          <w:sz w:val="18"/>
        </w:rPr>
        <w:t xml:space="preserve"> Block II capacity and thus subject to recall to serve the PG&amp;E market area.  Any relaxation in the Block II recall rights will require a change to El Paso’s tariff and a modification to the 1995 settlement, which will be a very difficult process, if it can be accomplished at all.  The second is that the Topock delivery point is on El Paso’s northern system, while most of the full requirements customers who need the additional capacity are on the southern system.  At least at this point in time, additional capacity on the northern system will not alleviate the constraints on the southern system </w:t>
      </w:r>
    </w:p>
    <w:p>
      <w:pPr>
        <w:pStyle w:val="Normal"/>
        <w:rPr>
          <w:rFonts w:cs="Arial;Arial"/>
          <w:sz w:val="18"/>
        </w:rPr>
      </w:pPr>
      <w:r>
        <w:rPr>
          <w:rFonts w:cs="Arial;Arial"/>
          <w:sz w:val="18"/>
        </w:rPr>
      </w:r>
    </w:p>
    <w:p>
      <w:pPr>
        <w:pStyle w:val="Normal"/>
        <w:rPr>
          <w:rFonts w:cs="Arial;Arial"/>
          <w:sz w:val="18"/>
        </w:rPr>
      </w:pPr>
      <w:r>
        <w:rPr>
          <w:rFonts w:cs="Arial;Arial"/>
          <w:sz w:val="18"/>
        </w:rPr>
        <w:t xml:space="preserve">Leslie and I have had many discussions with the West Desk (Phillip Allen, Barry Tycholiz, Stephanie Miller, and Jane Tholt), and we do not think there are any other viable regulatory options, nor do we hold out much chance of regulatory success.  Any solutions will probably come through commercial negotiations, and even then the Block II recall rights will be an issue unless the tariff is modified.  We plan to have Randy Rich at Bracewell &amp; Patterson review the case and see if he can come up with any regulatory approaches we have not already thought of.  </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0" w:characterSet="windows-1252"/>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Arial" w:hAnsi="Arial;Arial" w:eastAsia="Times New Roman;Times New Roman" w:cs="Arial;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My Memo.dot</Template>
  <TotalTime>144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2001-09-24T14:38:00Z</dcterms:created>
  <dc:creator>Rebecca W. Cantrell</dc:creator>
  <dc:description/>
  <dc:language>en-CA</dc:language>
  <cp:lastModifiedBy>Rebecca W. Cantrell</cp:lastModifiedBy>
  <cp:lastPrinted>2001-09-24T14:23:00Z</cp:lastPrinted>
  <dcterms:modified xsi:type="dcterms:W3CDTF">2001-09-24T17:49:00Z</dcterms:modified>
  <cp:revision>3</cp:revision>
  <dc:subject/>
  <dc:title>Better, Faster, Simpler Memo </dc:title>
</cp:coreProperties>
</file>