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hanging="0" w:start="0" w:end="0"/>
        <w:jc w:val="center"/>
        <w:rPr/>
      </w:pPr>
      <w:r>
        <w:rPr/>
      </w:r>
    </w:p>
    <w:p>
      <w:pPr>
        <w:pStyle w:val="Normal"/>
        <w:widowControl/>
        <w:bidi w:val="0"/>
        <w:ind w:hanging="0" w:start="0" w:end="0"/>
        <w:jc w:val="center"/>
        <w:rPr/>
      </w:pPr>
      <w:r>
        <w:rPr/>
      </w:r>
    </w:p>
    <w:p>
      <w:pPr>
        <w:pStyle w:val="Normal"/>
        <w:widowControl/>
        <w:bidi w:val="0"/>
        <w:ind w:hanging="0" w:start="0" w:end="0"/>
        <w:jc w:val="center"/>
        <w:rPr/>
      </w:pPr>
      <w:r>
        <w:rPr/>
      </w:r>
    </w:p>
    <w:p>
      <w:pPr>
        <w:pStyle w:val="Normal"/>
        <w:widowControl/>
        <w:bidi w:val="0"/>
        <w:ind w:hanging="0" w:start="0" w:end="0"/>
        <w:jc w:val="center"/>
        <w:rPr/>
      </w:pPr>
      <w:r>
        <w:rPr/>
      </w:r>
    </w:p>
    <w:p>
      <w:pPr>
        <w:pStyle w:val="Normal"/>
        <w:widowControl/>
        <w:bidi w:val="0"/>
        <w:ind w:hanging="0" w:start="0" w:end="0"/>
        <w:jc w:val="center"/>
        <w:rPr/>
      </w:pPr>
      <w:r>
        <w:rPr/>
      </w:r>
    </w:p>
    <w:p>
      <w:pPr>
        <w:pStyle w:val="Normal"/>
        <w:widowControl/>
        <w:bidi w:val="0"/>
        <w:ind w:hanging="0" w:start="0" w:end="0"/>
        <w:jc w:val="center"/>
        <w:rPr/>
      </w:pPr>
      <w:r>
        <w:rPr/>
      </w:r>
    </w:p>
    <w:p>
      <w:pPr>
        <w:pStyle w:val="Normal"/>
        <w:widowControl/>
        <w:bidi w:val="0"/>
        <w:ind w:hanging="0" w:start="0" w:end="0"/>
        <w:jc w:val="center"/>
        <w:rPr/>
      </w:pPr>
      <w:r>
        <w:rPr/>
      </w:r>
    </w:p>
    <w:p>
      <w:pPr>
        <w:pStyle w:val="Normal"/>
        <w:widowControl/>
        <w:bidi w:val="0"/>
        <w:ind w:hanging="0" w:start="0" w:end="0"/>
        <w:jc w:val="center"/>
        <w:rPr/>
      </w:pPr>
      <w:r>
        <w:rPr/>
      </w:r>
    </w:p>
    <w:p>
      <w:pPr>
        <w:pStyle w:val="Normal"/>
        <w:widowControl/>
        <w:bidi w:val="0"/>
        <w:ind w:hanging="0" w:start="0" w:end="0"/>
        <w:jc w:val="center"/>
        <w:rPr/>
      </w:pPr>
      <w:r>
        <w:rPr/>
      </w:r>
    </w:p>
    <w:p>
      <w:pPr>
        <w:pStyle w:val="Normal"/>
        <w:widowControl/>
        <w:bidi w:val="0"/>
        <w:ind w:hanging="0" w:start="0" w:end="0"/>
        <w:jc w:val="center"/>
        <w:rPr/>
      </w:pPr>
      <w:r>
        <w:rPr/>
      </w:r>
    </w:p>
    <w:p>
      <w:pPr>
        <w:pStyle w:val="Normal"/>
        <w:widowControl/>
        <w:bidi w:val="0"/>
        <w:ind w:hanging="0" w:start="0" w:end="0"/>
        <w:jc w:val="center"/>
        <w:rPr/>
      </w:pPr>
      <w:r>
        <w:rPr/>
        <w:t>August 15, 2001</w:t>
      </w:r>
    </w:p>
    <w:p>
      <w:pPr>
        <w:pStyle w:val="Normal"/>
        <w:widowControl/>
        <w:bidi w:val="0"/>
        <w:ind w:hanging="0" w:start="0" w:end="0"/>
        <w:jc w:val="center"/>
        <w:rPr/>
      </w:pPr>
      <w:r>
        <w:rPr/>
      </w:r>
    </w:p>
    <w:p>
      <w:pPr>
        <w:pStyle w:val="Normal"/>
        <w:widowControl/>
        <w:bidi w:val="0"/>
        <w:ind w:hanging="0" w:start="0" w:end="0"/>
        <w:jc w:val="start"/>
        <w:rPr/>
      </w:pPr>
      <w:r>
        <w:rPr/>
      </w:r>
    </w:p>
    <w:p>
      <w:pPr>
        <w:pStyle w:val="Normal"/>
        <w:widowControl/>
        <w:bidi w:val="0"/>
        <w:ind w:hanging="0" w:start="0" w:end="0"/>
        <w:jc w:val="start"/>
        <w:rPr/>
      </w:pPr>
      <w:r>
        <w:rPr/>
      </w:r>
    </w:p>
    <w:p>
      <w:pPr>
        <w:pStyle w:val="Normal"/>
        <w:widowControl/>
        <w:bidi w:val="0"/>
        <w:ind w:hanging="0" w:start="0" w:end="0"/>
        <w:jc w:val="start"/>
        <w:rPr/>
      </w:pPr>
      <w:r>
        <w:rPr/>
      </w:r>
    </w:p>
    <w:p>
      <w:pPr>
        <w:pStyle w:val="Normal"/>
        <w:widowControl/>
        <w:bidi w:val="0"/>
        <w:ind w:hanging="0" w:start="0" w:end="0"/>
        <w:jc w:val="start"/>
        <w:rPr/>
      </w:pPr>
      <w:r>
        <w:rPr/>
        <w:t>Mr. Philip T. Schnorbach</w:t>
      </w:r>
    </w:p>
    <w:p>
      <w:pPr>
        <w:pStyle w:val="Normal"/>
        <w:widowControl/>
        <w:bidi w:val="0"/>
        <w:ind w:hanging="0" w:start="0" w:end="0"/>
        <w:jc w:val="start"/>
        <w:rPr/>
      </w:pPr>
      <w:r>
        <w:rPr/>
        <w:t>Texas Independent Energy, LP</w:t>
      </w:r>
    </w:p>
    <w:p>
      <w:pPr>
        <w:pStyle w:val="Normal"/>
        <w:widowControl/>
        <w:bidi w:val="0"/>
        <w:ind w:hanging="0" w:start="0" w:end="0"/>
        <w:jc w:val="start"/>
        <w:rPr/>
      </w:pPr>
      <w:r>
        <w:rPr/>
        <w:t>13760 Noel Road, Suite 930</w:t>
      </w:r>
    </w:p>
    <w:p>
      <w:pPr>
        <w:pStyle w:val="Normal"/>
        <w:widowControl/>
        <w:bidi w:val="0"/>
        <w:ind w:hanging="0" w:start="0" w:end="0"/>
        <w:jc w:val="start"/>
        <w:rPr/>
      </w:pPr>
      <w:r>
        <w:rPr/>
        <w:t xml:space="preserve">Dallas, Texas 75240 </w:t>
      </w:r>
    </w:p>
    <w:p>
      <w:pPr>
        <w:pStyle w:val="Normal"/>
        <w:widowControl/>
        <w:bidi w:val="0"/>
        <w:ind w:hanging="0" w:start="0" w:end="0"/>
        <w:jc w:val="start"/>
        <w:rPr/>
      </w:pPr>
      <w:r>
        <w:rPr/>
      </w:r>
    </w:p>
    <w:p>
      <w:pPr>
        <w:pStyle w:val="BodyText2"/>
        <w:widowControl/>
        <w:tabs>
          <w:tab w:val="clear" w:pos="360"/>
          <w:tab w:val="left" w:pos="0" w:leader="none"/>
        </w:tabs>
        <w:bidi w:val="0"/>
        <w:ind w:hanging="360" w:start="1080" w:end="540"/>
        <w:jc w:val="start"/>
        <w:rPr>
          <w:rFonts w:ascii="Times New Roman" w:hAnsi="Times New Roman"/>
        </w:rPr>
      </w:pPr>
      <w:r>
        <w:rPr/>
        <w:t xml:space="preserve">Re: </w:t>
        <w:tab/>
      </w:r>
      <w:r>
        <w:rPr>
          <w:b/>
          <w:i/>
        </w:rPr>
        <w:t>Guadalupe Power Partners, LP (“GPP”)</w:t>
      </w:r>
    </w:p>
    <w:p>
      <w:pPr>
        <w:pStyle w:val="Normal"/>
        <w:widowControl/>
        <w:bidi w:val="0"/>
        <w:ind w:hanging="0" w:start="0" w:end="0"/>
        <w:jc w:val="start"/>
        <w:rPr/>
      </w:pPr>
      <w:r>
        <w:rPr/>
      </w:r>
    </w:p>
    <w:p>
      <w:pPr>
        <w:pStyle w:val="Normal"/>
        <w:widowControl/>
        <w:bidi w:val="0"/>
        <w:ind w:hanging="0" w:start="0" w:end="0"/>
        <w:jc w:val="start"/>
        <w:rPr/>
      </w:pPr>
      <w:r>
        <w:rPr/>
        <w:t>Dear Mr. Schnorbach:</w:t>
      </w:r>
    </w:p>
    <w:p>
      <w:pPr>
        <w:pStyle w:val="Normal"/>
        <w:widowControl/>
        <w:bidi w:val="0"/>
        <w:ind w:hanging="0" w:start="0" w:end="0"/>
        <w:jc w:val="start"/>
        <w:rPr/>
      </w:pPr>
      <w:r>
        <w:rPr/>
      </w:r>
    </w:p>
    <w:p>
      <w:pPr>
        <w:pStyle w:val="Normal"/>
        <w:widowControl/>
        <w:bidi w:val="0"/>
        <w:ind w:firstLine="360" w:start="360" w:end="0"/>
        <w:jc w:val="start"/>
        <w:rPr/>
      </w:pPr>
      <w:r>
        <w:rPr/>
        <w:t>I am in receipt of your letter of July 20, 2001.  The purpose of this letter is to provide information as promised regarding the “commercial issues” related to Issue 2 (</w:t>
      </w:r>
      <w:r>
        <w:rPr>
          <w:u w:val="single"/>
        </w:rPr>
        <w:t>Does HPLC have the ability to serve the Gas Supply Contract?</w:t>
      </w:r>
      <w:r>
        <w:rPr/>
        <w:t xml:space="preserve">).  I offer the following responses to your original inquiry about the proposed assignment of the Gas Supply Contract from Enron </w:t>
      </w:r>
      <w:r>
        <w:rPr>
          <w:b/>
          <w:u w:val="double"/>
        </w:rPr>
        <w:t>North America Corp. (“ENA”)</w:t>
      </w:r>
      <w:r>
        <w:rPr/>
        <w:t xml:space="preserve"> to Houston Pipe Line Company (“HPLC”).</w:t>
      </w:r>
    </w:p>
    <w:p>
      <w:pPr>
        <w:pStyle w:val="Normal"/>
        <w:widowControl/>
        <w:bidi w:val="0"/>
        <w:ind w:hanging="0" w:start="0" w:end="0"/>
        <w:jc w:val="start"/>
        <w:rPr/>
      </w:pPr>
      <w:r>
        <w:rPr/>
      </w:r>
    </w:p>
    <w:p>
      <w:pPr>
        <w:pStyle w:val="Normal"/>
        <w:widowControl/>
        <w:tabs>
          <w:tab w:val="clear" w:pos="360"/>
          <w:tab w:val="left" w:pos="1080" w:leader="none"/>
        </w:tabs>
        <w:bidi w:val="0"/>
        <w:ind w:hanging="360" w:start="1080" w:end="0"/>
        <w:jc w:val="start"/>
        <w:rPr>
          <w:b/>
        </w:rPr>
      </w:pPr>
      <w:r>
        <w:rPr>
          <w:b/>
        </w:rPr>
        <w:t>a.</w:t>
        <w:tab/>
        <w:t>[Does HPLC have] the ability to serve the Gas Supply Contract</w:t>
      </w:r>
    </w:p>
    <w:p>
      <w:pPr>
        <w:pStyle w:val="Normal"/>
        <w:widowControl/>
        <w:bidi w:val="0"/>
        <w:ind w:hanging="0" w:start="0" w:end="0"/>
        <w:jc w:val="start"/>
        <w:rPr/>
      </w:pPr>
      <w:r>
        <w:rPr/>
      </w:r>
    </w:p>
    <w:p>
      <w:pPr>
        <w:pStyle w:val="BodyTextIndent2"/>
        <w:widowControl/>
        <w:bidi w:val="0"/>
        <w:ind w:hanging="0" w:start="1080" w:end="0"/>
        <w:jc w:val="start"/>
        <w:rPr>
          <w:rFonts w:ascii="Times New Roman" w:hAnsi="Times New Roman"/>
          <w:sz w:val="24"/>
        </w:rPr>
      </w:pPr>
      <w:r>
        <w:rPr>
          <w:sz w:val="24"/>
        </w:rPr>
        <w:t>Yes. HPLC has the ability to serve the Gas Supply Contract.  HPLC currently manages a 118.0 BCF storage facility, has 2.4 BCF/d of pipeline capacity, and averages 1.5 BCF/d of throughput.</w:t>
      </w:r>
      <w:r>
        <w:rPr>
          <w:b/>
          <w:sz w:val="24"/>
          <w:u w:val="double"/>
        </w:rPr>
        <w:t xml:space="preserve">  [Do we know anything about purchases and sales?]</w:t>
      </w:r>
    </w:p>
    <w:p>
      <w:pPr>
        <w:pStyle w:val="Normal"/>
        <w:widowControl/>
        <w:bidi w:val="0"/>
        <w:ind w:hanging="0" w:start="720" w:end="0"/>
        <w:jc w:val="start"/>
        <w:rPr/>
      </w:pPr>
      <w:r>
        <w:rPr/>
      </w:r>
    </w:p>
    <w:p>
      <w:pPr>
        <w:pStyle w:val="Normal"/>
        <w:widowControl/>
        <w:tabs>
          <w:tab w:val="clear" w:pos="360"/>
          <w:tab w:val="left" w:pos="1080" w:leader="none"/>
        </w:tabs>
        <w:bidi w:val="0"/>
        <w:ind w:hanging="360" w:start="1080" w:end="0"/>
        <w:jc w:val="start"/>
        <w:rPr>
          <w:b/>
        </w:rPr>
      </w:pPr>
      <w:r>
        <w:rPr>
          <w:b/>
        </w:rPr>
        <w:t>b.</w:t>
        <w:tab/>
        <w:t>[What is] the ability of AEP to serve the Gas Supply</w:t>
      </w:r>
    </w:p>
    <w:p>
      <w:pPr>
        <w:pStyle w:val="Normal"/>
        <w:widowControl/>
        <w:bidi w:val="0"/>
        <w:ind w:hanging="0" w:start="720" w:end="0"/>
        <w:jc w:val="start"/>
        <w:rPr/>
      </w:pPr>
      <w:r>
        <w:rPr/>
      </w:r>
    </w:p>
    <w:p>
      <w:pPr>
        <w:pStyle w:val="BodyTextIndent3"/>
        <w:widowControl/>
        <w:bidi w:val="0"/>
        <w:jc w:val="start"/>
        <w:rPr>
          <w:rFonts w:ascii="Times New Roman" w:hAnsi="Times New Roman"/>
          <w:sz w:val="24"/>
        </w:rPr>
      </w:pPr>
      <w:r>
        <w:rPr>
          <w:sz w:val="24"/>
        </w:rPr>
        <w:t xml:space="preserve">American Electric Power (“AEP”), with its HPL asset, can easily cover GPP’s base nominations.  </w:t>
      </w:r>
      <w:r>
        <w:rPr>
          <w:strike/>
          <w:sz w:val="24"/>
        </w:rPr>
        <w:t>AEP may have some difficulty covering swing volumes since GPP has the right to nominate volumes for thirty (30) minutes after day trading is complete. Swing</w:t>
      </w:r>
      <w:r>
        <w:rPr>
          <w:sz w:val="24"/>
        </w:rPr>
        <w:t xml:space="preserve"> </w:t>
      </w:r>
      <w:r>
        <w:rPr>
          <w:b/>
          <w:sz w:val="24"/>
          <w:u w:val="double"/>
        </w:rPr>
        <w:t xml:space="preserve">While swing </w:t>
      </w:r>
      <w:r>
        <w:rPr>
          <w:sz w:val="24"/>
        </w:rPr>
        <w:t>volumes can be as high as 80,000 MMBTU/d</w:t>
      </w:r>
      <w:r>
        <w:rPr>
          <w:strike/>
          <w:sz w:val="24"/>
        </w:rPr>
        <w:t>. However</w:t>
      </w:r>
      <w:r>
        <w:rPr>
          <w:sz w:val="24"/>
        </w:rPr>
        <w:t xml:space="preserve">, considering the amount of assets and reserves mentioned above, AEP is in a position to effectively serve the Gas Supply </w:t>
      </w:r>
      <w:r>
        <w:rPr>
          <w:b/>
          <w:sz w:val="24"/>
          <w:u w:val="double"/>
        </w:rPr>
        <w:t>Contract</w:t>
      </w:r>
      <w:r>
        <w:rPr>
          <w:sz w:val="24"/>
        </w:rPr>
        <w:t>.</w:t>
      </w:r>
    </w:p>
    <w:p>
      <w:pPr>
        <w:pStyle w:val="BodyTextIndent3"/>
        <w:widowControl/>
        <w:bidi w:val="0"/>
        <w:jc w:val="start"/>
        <w:rPr>
          <w:rFonts w:ascii="Times New Roman" w:hAnsi="Times New Roman"/>
          <w:sz w:val="24"/>
        </w:rPr>
      </w:pPr>
      <w:r>
        <w:rPr>
          <w:sz w:val="24"/>
        </w:rPr>
      </w:r>
    </w:p>
    <w:p>
      <w:pPr>
        <w:pStyle w:val="BodyTextIndent3"/>
        <w:widowControl/>
        <w:bidi w:val="0"/>
        <w:jc w:val="start"/>
        <w:rPr>
          <w:rFonts w:ascii="Times New Roman" w:hAnsi="Times New Roman"/>
          <w:sz w:val="24"/>
        </w:rPr>
      </w:pPr>
      <w:r>
        <w:rPr>
          <w:sz w:val="24"/>
        </w:rPr>
        <w:t xml:space="preserve">In addition, when </w:t>
      </w:r>
      <w:r>
        <w:rPr>
          <w:strike/>
          <w:sz w:val="24"/>
        </w:rPr>
        <w:t>Enron</w:t>
      </w:r>
      <w:r>
        <w:rPr>
          <w:sz w:val="24"/>
        </w:rPr>
        <w:t xml:space="preserve"> </w:t>
      </w:r>
      <w:r>
        <w:rPr>
          <w:b/>
          <w:sz w:val="24"/>
          <w:u w:val="double"/>
        </w:rPr>
        <w:t>ENA</w:t>
      </w:r>
      <w:r>
        <w:rPr>
          <w:sz w:val="24"/>
        </w:rPr>
        <w:t xml:space="preserve"> sold </w:t>
      </w:r>
      <w:r>
        <w:rPr>
          <w:strike/>
          <w:sz w:val="24"/>
        </w:rPr>
        <w:t>the asset</w:t>
      </w:r>
      <w:r>
        <w:rPr>
          <w:sz w:val="24"/>
        </w:rPr>
        <w:t xml:space="preserve"> </w:t>
      </w:r>
      <w:r>
        <w:rPr>
          <w:b/>
          <w:sz w:val="24"/>
          <w:u w:val="double"/>
        </w:rPr>
        <w:t>HPLC</w:t>
      </w:r>
      <w:r>
        <w:rPr>
          <w:sz w:val="24"/>
        </w:rPr>
        <w:t>, it in effect sold all its intellectual capital associated with the Texas physical natural gas markets.</w:t>
      </w:r>
    </w:p>
    <w:p>
      <w:pPr>
        <w:pStyle w:val="BodyTextIndent3"/>
        <w:widowControl/>
        <w:bidi w:val="0"/>
        <w:jc w:val="start"/>
        <w:rPr>
          <w:rFonts w:ascii="Times New Roman" w:hAnsi="Times New Roman"/>
          <w:sz w:val="24"/>
        </w:rPr>
      </w:pPr>
      <w:r>
        <w:rPr>
          <w:sz w:val="24"/>
        </w:rPr>
      </w:r>
    </w:p>
    <w:p>
      <w:pPr>
        <w:pStyle w:val="BodyTextIndent3"/>
        <w:widowControl/>
        <w:bidi w:val="0"/>
        <w:jc w:val="start"/>
        <w:rPr>
          <w:rFonts w:ascii="Times New Roman" w:hAnsi="Times New Roman"/>
          <w:strike/>
          <w:sz w:val="24"/>
        </w:rPr>
      </w:pPr>
      <w:r>
        <w:rPr>
          <w:strike/>
          <w:sz w:val="24"/>
        </w:rPr>
        <w:t>Philip T. Schnorbach</w:t>
      </w:r>
    </w:p>
    <w:p>
      <w:pPr>
        <w:pStyle w:val="BodyTextIndent3"/>
        <w:widowControl/>
        <w:bidi w:val="0"/>
        <w:jc w:val="start"/>
        <w:rPr>
          <w:rFonts w:ascii="Times New Roman" w:hAnsi="Times New Roman"/>
          <w:strike/>
          <w:sz w:val="24"/>
        </w:rPr>
      </w:pPr>
      <w:r>
        <w:rPr>
          <w:strike/>
          <w:sz w:val="24"/>
        </w:rPr>
        <w:t>Page 2</w:t>
      </w:r>
    </w:p>
    <w:p>
      <w:pPr>
        <w:pStyle w:val="BodyTextIndent3"/>
        <w:widowControl/>
        <w:bidi w:val="0"/>
        <w:jc w:val="start"/>
        <w:rPr>
          <w:rFonts w:ascii="Times New Roman" w:hAnsi="Times New Roman"/>
          <w:sz w:val="24"/>
        </w:rPr>
      </w:pPr>
      <w:r>
        <w:rPr>
          <w:strike/>
          <w:sz w:val="24"/>
        </w:rPr>
        <w:t>August 14, 2001</w:t>
      </w:r>
    </w:p>
    <w:p>
      <w:pPr>
        <w:pStyle w:val="BodyTextIndent3"/>
        <w:widowControl/>
        <w:bidi w:val="0"/>
        <w:jc w:val="start"/>
        <w:rPr>
          <w:rFonts w:ascii="Times New Roman" w:hAnsi="Times New Roman"/>
          <w:sz w:val="24"/>
        </w:rPr>
      </w:pPr>
      <w:r>
        <w:rPr>
          <w:sz w:val="24"/>
        </w:rPr>
      </w:r>
    </w:p>
    <w:p>
      <w:pPr>
        <w:pStyle w:val="Normal"/>
        <w:keepNext w:val="true"/>
        <w:keepLines/>
        <w:widowControl/>
        <w:tabs>
          <w:tab w:val="clear" w:pos="360"/>
          <w:tab w:val="left" w:pos="1080" w:leader="none"/>
        </w:tabs>
        <w:bidi w:val="0"/>
        <w:ind w:hanging="360" w:start="1080" w:end="0"/>
        <w:jc w:val="start"/>
        <w:rPr>
          <w:b/>
        </w:rPr>
      </w:pPr>
      <w:r>
        <w:rPr>
          <w:b/>
        </w:rPr>
        <w:t>c.</w:t>
        <w:tab/>
        <w:t>What are HPLC’s delivery points</w:t>
      </w:r>
    </w:p>
    <w:p>
      <w:pPr>
        <w:pStyle w:val="Normal"/>
        <w:keepNext w:val="true"/>
        <w:keepLines/>
        <w:widowControl/>
        <w:bidi w:val="0"/>
        <w:ind w:hanging="0" w:start="0" w:end="0"/>
        <w:jc w:val="start"/>
        <w:rPr/>
      </w:pPr>
      <w:r>
        <w:rPr/>
      </w:r>
    </w:p>
    <w:p>
      <w:pPr>
        <w:pStyle w:val="Normal"/>
        <w:keepNext w:val="true"/>
        <w:keepLines/>
        <w:widowControl/>
        <w:bidi w:val="0"/>
        <w:ind w:hanging="0" w:start="1080" w:end="0"/>
        <w:jc w:val="start"/>
        <w:rPr/>
      </w:pPr>
      <w:r>
        <w:rPr/>
        <w:t>HPLC delivery points to serve this contract are as follows:</w:t>
      </w:r>
    </w:p>
    <w:p>
      <w:pPr>
        <w:pStyle w:val="Normal"/>
        <w:widowControl/>
        <w:bidi w:val="0"/>
        <w:ind w:firstLine="360" w:start="1080" w:end="0"/>
        <w:jc w:val="start"/>
        <w:rPr/>
      </w:pPr>
      <w:r>
        <w:rPr/>
        <w:t>Direct access – Oasis/HPL Katy</w:t>
      </w:r>
    </w:p>
    <w:p>
      <w:pPr>
        <w:pStyle w:val="Normal"/>
        <w:widowControl/>
        <w:bidi w:val="0"/>
        <w:ind w:firstLine="360" w:start="1080" w:end="0"/>
        <w:jc w:val="start"/>
        <w:rPr/>
      </w:pPr>
      <w:r>
        <w:rPr/>
        <w:t>Indirect access – TECO/Guadalupe, Dow D-T, Midcon, Aquila Hub</w:t>
      </w:r>
    </w:p>
    <w:p>
      <w:pPr>
        <w:pStyle w:val="Normal"/>
        <w:widowControl/>
        <w:bidi w:val="0"/>
        <w:ind w:hanging="0" w:start="0" w:end="0"/>
        <w:jc w:val="start"/>
        <w:rPr/>
      </w:pPr>
      <w:r>
        <w:rPr/>
      </w:r>
    </w:p>
    <w:p>
      <w:pPr>
        <w:pStyle w:val="Normal"/>
        <w:widowControl/>
        <w:bidi w:val="0"/>
        <w:ind w:firstLine="360" w:start="360" w:end="0"/>
        <w:jc w:val="start"/>
        <w:rPr/>
      </w:pPr>
      <w:r>
        <w:rPr/>
        <w:t>d.</w:t>
        <w:tab/>
      </w:r>
      <w:r>
        <w:rPr>
          <w:b/>
        </w:rPr>
        <w:t>Is HPLC any different after the sale to AEP</w:t>
      </w:r>
    </w:p>
    <w:p>
      <w:pPr>
        <w:pStyle w:val="Normal"/>
        <w:widowControl/>
        <w:bidi w:val="0"/>
        <w:ind w:hanging="0" w:start="720" w:end="0"/>
        <w:jc w:val="start"/>
        <w:rPr/>
      </w:pPr>
      <w:r>
        <w:rPr/>
      </w:r>
    </w:p>
    <w:p>
      <w:pPr>
        <w:pStyle w:val="BodyTextIndent3"/>
        <w:widowControl/>
        <w:bidi w:val="0"/>
        <w:jc w:val="start"/>
        <w:rPr>
          <w:rFonts w:ascii="Times New Roman" w:hAnsi="Times New Roman"/>
          <w:sz w:val="24"/>
        </w:rPr>
      </w:pPr>
      <w:r>
        <w:rPr>
          <w:sz w:val="24"/>
        </w:rPr>
        <w:t xml:space="preserve">No.  The pipeline asset was sold as fully operational and the operations personnel (i.e. field operations, physical trading, scheduling, gas control) were included in the sale. </w:t>
      </w:r>
    </w:p>
    <w:p>
      <w:pPr>
        <w:pStyle w:val="BodyTextIndent3"/>
        <w:widowControl/>
        <w:bidi w:val="0"/>
        <w:jc w:val="start"/>
        <w:rPr>
          <w:rFonts w:ascii="Times New Roman" w:hAnsi="Times New Roman"/>
          <w:sz w:val="24"/>
        </w:rPr>
      </w:pPr>
      <w:r>
        <w:rPr>
          <w:sz w:val="24"/>
        </w:rPr>
      </w:r>
    </w:p>
    <w:p>
      <w:pPr>
        <w:pStyle w:val="BodyTextIndent3"/>
        <w:widowControl/>
        <w:bidi w:val="0"/>
        <w:jc w:val="start"/>
        <w:rPr>
          <w:rFonts w:ascii="Times New Roman" w:hAnsi="Times New Roman"/>
          <w:sz w:val="24"/>
        </w:rPr>
      </w:pPr>
      <w:r>
        <w:rPr>
          <w:sz w:val="24"/>
        </w:rPr>
        <w:t>Also included as part of the sale were the Texas region portfolio of contracts, the pipeline asset, and storage gas.</w:t>
      </w:r>
    </w:p>
    <w:p>
      <w:pPr>
        <w:pStyle w:val="Normal"/>
        <w:widowControl/>
        <w:bidi w:val="0"/>
        <w:ind w:hanging="0" w:start="720" w:end="0"/>
        <w:jc w:val="start"/>
        <w:rPr/>
      </w:pPr>
      <w:r>
        <w:rPr/>
      </w:r>
    </w:p>
    <w:p>
      <w:pPr>
        <w:pStyle w:val="Normal"/>
        <w:widowControl/>
        <w:bidi w:val="0"/>
        <w:ind w:hanging="360" w:start="1080" w:end="0"/>
        <w:jc w:val="start"/>
        <w:rPr>
          <w:b/>
        </w:rPr>
      </w:pPr>
      <w:r>
        <w:rPr/>
        <w:t>e.</w:t>
        <w:tab/>
      </w:r>
      <w:r>
        <w:rPr>
          <w:b/>
        </w:rPr>
        <w:t>Any other information that provides insight into the ability to properly serve the Gas Supply Contract</w:t>
      </w:r>
    </w:p>
    <w:p>
      <w:pPr>
        <w:pStyle w:val="Normal"/>
        <w:widowControl/>
        <w:bidi w:val="0"/>
        <w:ind w:hanging="0" w:start="0" w:end="0"/>
        <w:jc w:val="start"/>
        <w:rPr/>
      </w:pPr>
      <w:r>
        <w:rPr/>
      </w:r>
    </w:p>
    <w:p>
      <w:pPr>
        <w:pStyle w:val="Normal"/>
        <w:widowControl/>
        <w:bidi w:val="0"/>
        <w:ind w:hanging="0" w:start="1080" w:end="0"/>
        <w:jc w:val="start"/>
        <w:rPr/>
      </w:pPr>
      <w:r>
        <w:rPr/>
        <w:t xml:space="preserve">In summary, when </w:t>
      </w:r>
      <w:r>
        <w:rPr>
          <w:strike/>
        </w:rPr>
        <w:t>Enron North America (“ENA”)</w:t>
      </w:r>
      <w:r>
        <w:rPr/>
        <w:t xml:space="preserve"> </w:t>
      </w:r>
      <w:r>
        <w:rPr>
          <w:b/>
          <w:u w:val="double"/>
        </w:rPr>
        <w:t>ENA</w:t>
      </w:r>
      <w:r>
        <w:rPr/>
        <w:t xml:space="preserve"> acquired this deal, we owned   HPLC including the storage facility, the pipeline, and the baseload transactions.   The flexibility of these assets allowed ENA the ability to serve the Guadalupe deal.  Now that AEP owns these assets, they are in a much better position to serve Guadalupe.  The late nomination rights</w:t>
      </w:r>
      <w:r>
        <w:rPr>
          <w:strike/>
        </w:rPr>
        <w:t>,</w:t>
      </w:r>
      <w:r>
        <w:rPr/>
        <w:t xml:space="preserve"> </w:t>
      </w:r>
      <w:r>
        <w:rPr>
          <w:b/>
          <w:u w:val="double"/>
        </w:rPr>
        <w:t>and</w:t>
      </w:r>
      <w:r>
        <w:rPr/>
        <w:t xml:space="preserve"> the swing capabilities</w:t>
      </w:r>
      <w:r>
        <w:rPr>
          <w:strike/>
        </w:rPr>
        <w:t>, and the daily swings on weekends</w:t>
      </w:r>
      <w:r>
        <w:rPr/>
        <w:t xml:space="preserve"> cannot be effectively managed without the asset.</w:t>
      </w:r>
    </w:p>
    <w:p>
      <w:pPr>
        <w:pStyle w:val="Normal"/>
        <w:widowControl/>
        <w:bidi w:val="0"/>
        <w:ind w:hanging="0" w:start="0" w:end="0"/>
        <w:jc w:val="start"/>
        <w:rPr/>
      </w:pPr>
      <w:r>
        <w:rPr/>
      </w:r>
    </w:p>
    <w:p>
      <w:pPr>
        <w:pStyle w:val="Normal"/>
        <w:widowControl/>
        <w:bidi w:val="0"/>
        <w:ind w:firstLine="360" w:start="720" w:end="0"/>
        <w:jc w:val="start"/>
        <w:rPr/>
      </w:pPr>
      <w:r>
        <w:rPr/>
        <w:t xml:space="preserve">I </w:t>
      </w:r>
      <w:r>
        <w:rPr>
          <w:strike/>
        </w:rPr>
        <w:t>turst</w:t>
      </w:r>
      <w:r>
        <w:rPr/>
        <w:t xml:space="preserve"> </w:t>
      </w:r>
      <w:r>
        <w:rPr>
          <w:b/>
          <w:u w:val="double"/>
        </w:rPr>
        <w:t>trust</w:t>
      </w:r>
      <w:r>
        <w:rPr/>
        <w:t xml:space="preserve"> the foregoing provides you with the information you need to go forward.  I look forward to hearing from you.</w:t>
      </w:r>
    </w:p>
    <w:p>
      <w:pPr>
        <w:pStyle w:val="Normal"/>
        <w:widowControl/>
        <w:bidi w:val="0"/>
        <w:ind w:hanging="0" w:start="0" w:end="0"/>
        <w:jc w:val="start"/>
        <w:rPr/>
      </w:pPr>
      <w:r>
        <w:rPr/>
      </w:r>
    </w:p>
    <w:p>
      <w:pPr>
        <w:pStyle w:val="Normal"/>
        <w:widowControl/>
        <w:bidi w:val="0"/>
        <w:ind w:hanging="0" w:start="4320" w:end="0"/>
        <w:jc w:val="start"/>
        <w:rPr/>
      </w:pPr>
      <w:r>
        <w:rPr/>
        <w:t>Very Truly Yours,</w:t>
      </w:r>
    </w:p>
    <w:p>
      <w:pPr>
        <w:pStyle w:val="Normal"/>
        <w:widowControl/>
        <w:bidi w:val="0"/>
        <w:ind w:hanging="0" w:start="4320" w:end="0"/>
        <w:jc w:val="start"/>
        <w:rPr/>
      </w:pPr>
      <w:r>
        <w:rPr/>
      </w:r>
    </w:p>
    <w:p>
      <w:pPr>
        <w:pStyle w:val="Normal"/>
        <w:widowControl/>
        <w:bidi w:val="0"/>
        <w:ind w:hanging="0" w:start="4320" w:end="0"/>
        <w:jc w:val="start"/>
        <w:rPr/>
      </w:pPr>
      <w:r>
        <w:rPr/>
      </w:r>
    </w:p>
    <w:p>
      <w:pPr>
        <w:pStyle w:val="Normal"/>
        <w:widowControl/>
        <w:bidi w:val="0"/>
        <w:ind w:hanging="0" w:start="4320" w:end="0"/>
        <w:jc w:val="start"/>
        <w:rPr/>
      </w:pPr>
      <w:r>
        <w:rPr/>
      </w:r>
    </w:p>
    <w:p>
      <w:pPr>
        <w:pStyle w:val="Normal"/>
        <w:widowControl/>
        <w:bidi w:val="0"/>
        <w:ind w:hanging="0" w:start="4320" w:end="0"/>
        <w:jc w:val="start"/>
        <w:rPr/>
      </w:pPr>
      <w:r>
        <w:rPr/>
        <w:t>Jim Coffey</w:t>
      </w:r>
    </w:p>
    <w:p>
      <w:pPr>
        <w:pStyle w:val="Normal"/>
        <w:widowControl/>
        <w:bidi w:val="0"/>
        <w:ind w:hanging="0" w:start="4320" w:end="0"/>
        <w:jc w:val="start"/>
        <w:rPr/>
      </w:pPr>
      <w:r>
        <w:rPr/>
        <w:t>Enron North America Corp</w:t>
      </w:r>
    </w:p>
    <w:p>
      <w:pPr>
        <w:pStyle w:val="Normal"/>
        <w:widowControl/>
        <w:bidi w:val="0"/>
        <w:ind w:hanging="0" w:start="720" w:end="0"/>
        <w:jc w:val="start"/>
        <w:rPr/>
      </w:pPr>
      <w:r>
        <w:rPr/>
      </w:r>
    </w:p>
    <w:p>
      <w:pPr>
        <w:pStyle w:val="Normal"/>
        <w:widowControl/>
        <w:bidi w:val="0"/>
        <w:ind w:hanging="0" w:start="720" w:end="0"/>
        <w:jc w:val="start"/>
        <w:rPr/>
      </w:pPr>
      <w:r>
        <w:rPr/>
      </w:r>
    </w:p>
    <w:p>
      <w:pPr>
        <w:pStyle w:val="Normal"/>
        <w:widowControl/>
        <w:bidi w:val="0"/>
        <w:ind w:hanging="0" w:start="720" w:end="0"/>
        <w:jc w:val="start"/>
        <w:rPr/>
      </w:pPr>
      <w:r>
        <w:rPr/>
        <w:t>cc:</w:t>
        <w:tab/>
        <w:tab/>
      </w:r>
      <w:r>
        <w:rPr>
          <w:strike/>
        </w:rPr>
        <w:t>Jeffery</w:t>
      </w:r>
      <w:r>
        <w:rPr/>
        <w:t xml:space="preserve"> </w:t>
      </w:r>
      <w:r>
        <w:rPr>
          <w:b/>
          <w:u w:val="double"/>
        </w:rPr>
        <w:t>Jeffrey</w:t>
      </w:r>
      <w:r>
        <w:rPr/>
        <w:t xml:space="preserve"> Hodge</w:t>
      </w:r>
      <w:r>
        <w:br w:type="page"/>
      </w:r>
    </w:p>
    <w:p>
      <w:pPr>
        <w:pStyle w:val="Normal"/>
        <w:widowControl/>
        <w:bidi w:val="0"/>
        <w:ind w:hanging="0" w:start="720" w:end="0"/>
        <w:jc w:val="start"/>
        <w:rPr/>
      </w:pPr>
      <w:r>
        <w:rPr/>
      </w:r>
    </w:p>
    <w:p>
      <w:pPr>
        <w:pStyle w:val="Normal"/>
        <w:widowControl/>
        <w:bidi w:val="0"/>
        <w:ind w:hanging="0" w:start="720" w:end="0"/>
        <w:jc w:val="start"/>
        <w:rPr/>
      </w:pPr>
      <w:r>
        <w:rPr>
          <w:b/>
          <w:u w:val="double"/>
        </w:rPr>
        <w:t>bcc:</w:t>
      </w:r>
      <w:r>
        <w:rPr/>
        <w:tab/>
        <w:tab/>
        <w:t>Brian Redmond</w:t>
      </w:r>
    </w:p>
    <w:p>
      <w:pPr>
        <w:pStyle w:val="Normal"/>
        <w:widowControl/>
        <w:bidi w:val="0"/>
        <w:ind w:hanging="0" w:start="720" w:end="0"/>
        <w:jc w:val="start"/>
        <w:rPr/>
      </w:pPr>
      <w:r>
        <w:rPr/>
        <w:tab/>
        <w:tab/>
        <w:t>Janet Wallis</w:t>
      </w:r>
    </w:p>
    <w:p>
      <w:pPr>
        <w:pStyle w:val="Normal"/>
        <w:widowControl/>
        <w:bidi w:val="0"/>
        <w:ind w:hanging="0" w:start="720" w:end="0"/>
        <w:jc w:val="start"/>
        <w:rPr/>
      </w:pPr>
      <w:r>
        <w:rPr/>
        <w:tab/>
        <w:tab/>
        <w:t>Gary Bryan</w:t>
      </w:r>
    </w:p>
    <w:p>
      <w:pPr>
        <w:pStyle w:val="Normal"/>
        <w:widowControl/>
        <w:bidi w:val="0"/>
        <w:ind w:hanging="0" w:start="720" w:end="0"/>
        <w:jc w:val="start"/>
        <w:rPr/>
      </w:pPr>
      <w:r>
        <w:rPr/>
        <w:tab/>
        <w:tab/>
        <w:t>Barbara Gray</w:t>
      </w:r>
    </w:p>
    <w:p>
      <w:pPr>
        <w:pStyle w:val="Normal"/>
        <w:widowControl/>
        <w:bidi w:val="0"/>
        <w:ind w:hanging="0" w:start="720" w:end="0"/>
        <w:jc w:val="start"/>
        <w:rPr/>
      </w:pPr>
      <w:r>
        <w:rPr/>
        <w:tab/>
        <w:tab/>
        <w:t>Troy Denetsosie</w:t>
      </w:r>
    </w:p>
    <w:p>
      <w:pPr>
        <w:pStyle w:val="Normal"/>
        <w:widowControl/>
        <w:bidi w:val="0"/>
        <w:ind w:hanging="0" w:start="720" w:end="0"/>
        <w:jc w:val="start"/>
        <w:rPr/>
      </w:pPr>
      <w:r>
        <w:rPr/>
        <w:tab/>
        <w:tab/>
        <w:t>Bryon Gannaway – Texas Independent Energy, LP</w:t>
      </w:r>
    </w:p>
    <w:p>
      <w:pPr>
        <w:pStyle w:val="Normal"/>
        <w:widowControl/>
        <w:bidi w:val="0"/>
        <w:ind w:hanging="0" w:start="720" w:end="0"/>
        <w:jc w:val="start"/>
        <w:rPr/>
      </w:pPr>
      <w:r>
        <w:rPr/>
        <w:tab/>
        <w:tab/>
        <w:t xml:space="preserve">Dan Hyvl – via e-mail (djhyvl@aep.com)  </w:t>
      </w:r>
    </w:p>
    <w:p>
      <w:pPr>
        <w:pStyle w:val="Normal"/>
        <w:widowControl/>
        <w:bidi w:val="0"/>
        <w:ind w:hanging="0" w:start="720" w:end="0"/>
        <w:jc w:val="start"/>
        <w:rPr/>
      </w:pPr>
      <w:r>
        <w:rPr/>
      </w:r>
    </w:p>
    <w:p>
      <w:pPr>
        <w:pStyle w:val="Normal"/>
        <w:widowControl/>
        <w:bidi w:val="0"/>
        <w:ind w:hanging="0" w:start="720" w:end="0"/>
        <w:jc w:val="start"/>
        <w:rPr/>
      </w:pPr>
      <w:r>
        <w:rPr/>
      </w:r>
    </w:p>
    <w:p>
      <w:pPr>
        <w:pStyle w:val="Normal"/>
        <w:widowControl/>
        <w:bidi w:val="0"/>
        <w:ind w:hanging="0" w:start="720" w:end="0"/>
        <w:jc w:val="start"/>
        <w:rPr/>
      </w:pPr>
      <w:r>
        <w:rPr/>
        <w:t>------------------ COMPARISON OF HEADERS ------------------</w:t>
      </w:r>
    </w:p>
    <w:p>
      <w:pPr>
        <w:pStyle w:val="Normal"/>
        <w:widowControl/>
        <w:bidi w:val="0"/>
        <w:ind w:hanging="0" w:start="720" w:end="0"/>
        <w:jc w:val="start"/>
        <w:rPr>
          <w:b/>
          <w:u w:val="double"/>
        </w:rPr>
      </w:pPr>
      <w:r>
        <w:rPr>
          <w:b/>
          <w:u w:val="double"/>
        </w:rPr>
      </w:r>
    </w:p>
    <w:p>
      <w:pPr>
        <w:pStyle w:val="Normal"/>
        <w:widowControl/>
        <w:bidi w:val="0"/>
        <w:ind w:hanging="0" w:start="720" w:end="0"/>
        <w:jc w:val="start"/>
        <w:rPr>
          <w:b/>
          <w:u w:val="double"/>
        </w:rPr>
      </w:pPr>
      <w:r>
        <w:rPr>
          <w:b/>
          <w:u w:val="double"/>
        </w:rPr>
        <w:t>-HEADER 1-</w:t>
      </w:r>
    </w:p>
    <w:p>
      <w:pPr>
        <w:pStyle w:val="Normal"/>
        <w:widowControl/>
        <w:bidi w:val="0"/>
        <w:ind w:hanging="0" w:start="720" w:end="0"/>
        <w:jc w:val="start"/>
        <w:rPr>
          <w:b/>
          <w:u w:val="double"/>
        </w:rPr>
      </w:pPr>
      <w:r>
        <w:rPr>
          <w:b/>
          <w:u w:val="double"/>
        </w:rPr>
        <w:t>Philip T. Schnorbach</w:t>
      </w:r>
    </w:p>
    <w:p>
      <w:pPr>
        <w:pStyle w:val="Normal"/>
        <w:widowControl/>
        <w:bidi w:val="0"/>
        <w:ind w:hanging="0" w:start="720" w:end="0"/>
        <w:jc w:val="start"/>
        <w:rPr>
          <w:b/>
          <w:u w:val="double"/>
        </w:rPr>
      </w:pPr>
      <w:r>
        <w:rPr>
          <w:b/>
          <w:u w:val="double"/>
        </w:rPr>
        <w:t>August 15, 2001</w:t>
      </w:r>
    </w:p>
    <w:p>
      <w:pPr>
        <w:pStyle w:val="Normal"/>
        <w:widowControl/>
        <w:bidi w:val="0"/>
        <w:ind w:hanging="0" w:start="720" w:end="0"/>
        <w:jc w:val="start"/>
        <w:rPr/>
      </w:pPr>
      <w:r>
        <w:rPr>
          <w:b/>
          <w:u w:val="double"/>
        </w:rPr>
        <w:t>Page 2</w:t>
      </w:r>
    </w:p>
    <w:p>
      <w:pPr>
        <w:pStyle w:val="Normal"/>
        <w:widowControl/>
        <w:bidi w:val="0"/>
        <w:ind w:hanging="0" w:start="720" w:end="0"/>
        <w:jc w:val="start"/>
        <w:rPr/>
      </w:pPr>
      <w:r>
        <w:rPr/>
      </w:r>
    </w:p>
    <w:p>
      <w:pPr>
        <w:pStyle w:val="Normal"/>
        <w:widowControl/>
        <w:bidi w:val="0"/>
        <w:ind w:hanging="0" w:start="720" w:end="0"/>
        <w:jc w:val="start"/>
        <w:rPr/>
      </w:pPr>
      <w:r>
        <w:rPr/>
      </w:r>
    </w:p>
    <w:p>
      <w:pPr>
        <w:pStyle w:val="Normal"/>
        <w:widowControl/>
        <w:bidi w:val="0"/>
        <w:ind w:hanging="0" w:start="720" w:end="0"/>
        <w:jc w:val="start"/>
        <w:rPr/>
      </w:pPr>
      <w:r>
        <w:rPr/>
      </w:r>
    </w:p>
    <w:p>
      <w:pPr>
        <w:pStyle w:val="Normal"/>
        <w:widowControl/>
        <w:bidi w:val="0"/>
        <w:ind w:hanging="0" w:start="720" w:end="0"/>
        <w:jc w:val="start"/>
        <w:rPr/>
      </w:pPr>
      <w:r>
        <w:rPr/>
      </w:r>
    </w:p>
    <w:p>
      <w:pPr>
        <w:pStyle w:val="Normal"/>
        <w:widowControl/>
        <w:bidi w:val="0"/>
        <w:ind w:hanging="0" w:start="720" w:end="0"/>
        <w:jc w:val="start"/>
        <w:rPr/>
      </w:pPr>
      <w:r>
        <w:rPr/>
      </w:r>
    </w:p>
    <w:p>
      <w:pPr>
        <w:pStyle w:val="Normal"/>
        <w:widowControl/>
        <w:bidi w:val="0"/>
        <w:ind w:hanging="0" w:start="720" w:end="0"/>
        <w:jc w:val="start"/>
        <w:rPr/>
      </w:pPr>
      <w:r>
        <w:rPr/>
        <w:t xml:space="preserve">This redlined draft, generated by CompareRite (TM) - The Instant Redliner, shows the differences between - </w:t>
      </w:r>
    </w:p>
    <w:p>
      <w:pPr>
        <w:pStyle w:val="Normal"/>
        <w:widowControl/>
        <w:bidi w:val="0"/>
        <w:ind w:hanging="0" w:start="720" w:end="0"/>
        <w:jc w:val="start"/>
        <w:rPr/>
      </w:pPr>
      <w:r>
        <w:rPr/>
        <w:t>original document   : O:\LEGAL\JHODGE\2001\LETTERS\01060 GUADALUPE SCHNORBACH E-MAIL.DOC</w:t>
      </w:r>
    </w:p>
    <w:p>
      <w:pPr>
        <w:pStyle w:val="Normal"/>
        <w:widowControl/>
        <w:bidi w:val="0"/>
        <w:ind w:hanging="0" w:start="720" w:end="0"/>
        <w:jc w:val="start"/>
        <w:rPr/>
      </w:pPr>
      <w:r>
        <w:rPr/>
        <w:t>and revised document: O:\LEGAL\JHODGE\2001\LETTERS\01061 GUADALUPE V2.DOC</w:t>
      </w:r>
    </w:p>
    <w:p>
      <w:pPr>
        <w:pStyle w:val="Normal"/>
        <w:widowControl/>
        <w:bidi w:val="0"/>
        <w:ind w:hanging="0" w:start="720" w:end="0"/>
        <w:jc w:val="start"/>
        <w:rPr/>
      </w:pPr>
      <w:r>
        <w:rPr/>
      </w:r>
    </w:p>
    <w:p>
      <w:pPr>
        <w:pStyle w:val="Normal"/>
        <w:widowControl/>
        <w:bidi w:val="0"/>
        <w:ind w:hanging="0" w:start="720" w:end="0"/>
        <w:jc w:val="start"/>
        <w:rPr/>
      </w:pPr>
      <w:r>
        <w:rPr/>
        <w:t>CompareRite found   14 change(s) in the text</w:t>
      </w:r>
    </w:p>
    <w:p>
      <w:pPr>
        <w:pStyle w:val="Normal"/>
        <w:widowControl/>
        <w:bidi w:val="0"/>
        <w:ind w:hanging="0" w:start="720" w:end="0"/>
        <w:jc w:val="start"/>
        <w:rPr/>
      </w:pPr>
      <w:r>
        <w:rPr/>
        <w:t>CompareRite found    1 change(s) in the notes</w:t>
      </w:r>
    </w:p>
    <w:p>
      <w:pPr>
        <w:pStyle w:val="Normal"/>
        <w:widowControl/>
        <w:bidi w:val="0"/>
        <w:ind w:hanging="0" w:start="720" w:end="0"/>
        <w:jc w:val="start"/>
        <w:rPr/>
      </w:pPr>
      <w:r>
        <w:rPr/>
      </w:r>
    </w:p>
    <w:p>
      <w:pPr>
        <w:pStyle w:val="Normal"/>
        <w:widowControl/>
        <w:bidi w:val="0"/>
        <w:ind w:hanging="0" w:start="720" w:end="0"/>
        <w:jc w:val="start"/>
        <w:rPr/>
      </w:pPr>
      <w:r>
        <w:rPr/>
        <w:t xml:space="preserve">Deletions appear as Overstrike text </w:t>
      </w:r>
    </w:p>
    <w:p>
      <w:pPr>
        <w:pStyle w:val="Normal"/>
        <w:widowControl/>
        <w:bidi w:val="0"/>
        <w:ind w:hanging="0" w:start="720" w:end="0"/>
        <w:jc w:val="start"/>
        <w:rPr/>
      </w:pPr>
      <w:r>
        <w:rPr/>
        <w:t xml:space="preserve">Additions appear as Bold+Dbl Underline text </w:t>
      </w:r>
    </w:p>
    <w:sectPr>
      <w:headerReference w:type="even" r:id="rId2"/>
      <w:headerReference w:type="default" r:id="rId3"/>
      <w:headerReference w:type="first" r:id="rId4"/>
      <w:type w:val="nextPage"/>
      <w:pgSz w:w="12240" w:h="15840"/>
      <w:pgMar w:left="1440" w:right="1440" w:gutter="0" w:header="720" w:top="777" w:footer="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t>Philip T. Schnorbach</w:t>
    </w:r>
  </w:p>
  <w:p>
    <w:pPr>
      <w:pStyle w:val="Header"/>
      <w:widowControl/>
      <w:bidi w:val="0"/>
      <w:jc w:val="start"/>
      <w:rPr>
        <w:rFonts w:ascii="Times New Roman" w:hAnsi="Times New Roman"/>
      </w:rPr>
    </w:pPr>
    <w:r>
      <w:rPr/>
      <w:t>August 15, 2001</w:t>
    </w:r>
  </w:p>
  <w:p>
    <w:pPr>
      <w:pStyle w:val="Header"/>
      <w:widowControl/>
      <w:bidi w:val="0"/>
      <w:jc w:val="start"/>
      <w:rPr>
        <w:rFonts w:ascii="Times New Roman" w:hAnsi="Times New Roman"/>
      </w:rPr>
    </w:pPr>
    <w:r>
      <w:rPr/>
      <w:t xml:space="preserve">Page </w:t>
    </w:r>
    <w:r>
      <w:rPr>
        <w:rStyle w:val="PageNumber"/>
        <w:sz w:val="24"/>
        <w:lang w:val="en-US" w:eastAsia="en-US"/>
      </w:rPr>
      <w:fldChar w:fldCharType="begin"/>
    </w:r>
    <w:r>
      <w:rPr>
        <w:rStyle w:val="PageNumber"/>
        <w:sz w:val="24"/>
        <w:lang w:val="en-US" w:eastAsia="en-US"/>
      </w:rPr>
      <w:instrText xml:space="preserve"> PAGE </w:instrText>
    </w:r>
    <w:r>
      <w:rPr>
        <w:rStyle w:val="PageNumber"/>
        <w:sz w:val="24"/>
        <w:lang w:val="en-US" w:eastAsia="en-US"/>
      </w:rPr>
      <w:fldChar w:fldCharType="separate"/>
    </w:r>
    <w:r>
      <w:rPr>
        <w:rStyle w:val="PageNumber"/>
        <w:sz w:val="24"/>
        <w:lang w:val="en-US" w:eastAsia="en-US"/>
      </w:rPr>
      <w:t>3</w:t>
    </w:r>
    <w:r>
      <w:rPr>
        <w:rStyle w:val="PageNumber"/>
        <w:sz w:val="24"/>
        <w:lang w:val="en-US" w:eastAsia="en-US"/>
      </w:rPr>
      <w:fldChar w:fldCharType="end"/>
    </w:r>
  </w:p>
  <w:p>
    <w:pPr>
      <w:pStyle w:val="Header"/>
      <w:widowControl/>
      <w:bidi w:val="0"/>
      <w:jc w:val="start"/>
      <w:rPr>
        <w:rFonts w:ascii="Times New Roman" w:hAnsi="Times New Roman"/>
      </w:rPr>
    </w:pPr>
    <w:r>
      <w:rPr/>
    </w:r>
  </w:p>
  <w:p>
    <w:pPr>
      <w:pStyle w:val="Header"/>
      <w:widowControl/>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settings.xml><?xml version="1.0" encoding="utf-8"?>
<w:settings xmlns:w="http://schemas.openxmlformats.org/wordprocessingml/2006/main">
  <w:zoom w:percent="100"/>
  <w:defaultTabStop w:val="36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4"/>
      <w:szCs w:val="24"/>
      <w:lang w:val="en-US" w:eastAsia="en-US" w:bidi="hi-IN"/>
    </w:rPr>
  </w:style>
  <w:style w:type="character" w:styleId="DefaultParagraphFont">
    <w:name w:val="Default Paragraph Font"/>
    <w:qForma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ind w:hanging="360" w:start="1080" w:end="0"/>
      <w:jc w:val="start"/>
      <w:textAlignment w:val="auto"/>
    </w:pPr>
    <w:rPr>
      <w:sz w:val="24"/>
      <w:lang w:val="en-US" w:eastAsia="en-US"/>
    </w:rPr>
  </w:style>
  <w:style w:type="paragraph" w:styleId="BodyTextIndent2">
    <w:name w:val="Body Text Indent 2"/>
    <w:basedOn w:val="Normal"/>
    <w:qFormat/>
    <w:pPr>
      <w:widowControl w:val="false"/>
      <w:ind w:hanging="0" w:start="720" w:end="0"/>
      <w:jc w:val="start"/>
      <w:textAlignment w:val="auto"/>
    </w:pPr>
    <w:rPr>
      <w:sz w:val="23"/>
      <w:lang w:val="en-US" w:eastAsia="en-US"/>
    </w:rPr>
  </w:style>
  <w:style w:type="paragraph" w:styleId="HeaderandFooter">
    <w:name w:val="Header and Footer"/>
    <w:basedOn w:val="Normal"/>
    <w:qFormat/>
    <w:pPr/>
    <w:rPr/>
  </w:style>
  <w:style w:type="paragraph" w:styleId="Header">
    <w:name w:val="header"/>
    <w:basedOn w:val="Normal"/>
    <w:pPr>
      <w:widowControl w:val="false"/>
      <w:tabs>
        <w:tab w:val="clear" w:pos="360"/>
        <w:tab w:val="center" w:pos="4320" w:leader="none"/>
        <w:tab w:val="right" w:pos="8640" w:leader="none"/>
      </w:tabs>
      <w:ind w:hanging="0" w:start="0" w:end="0"/>
      <w:jc w:val="start"/>
      <w:textAlignment w:val="auto"/>
    </w:pPr>
    <w:rPr>
      <w:sz w:val="24"/>
      <w:lang w:val="en-US" w:eastAsia="en-US"/>
    </w:rPr>
  </w:style>
  <w:style w:type="paragraph" w:styleId="Footer">
    <w:name w:val="footer"/>
    <w:basedOn w:val="Normal"/>
    <w:pPr>
      <w:widowControl w:val="false"/>
      <w:tabs>
        <w:tab w:val="clear" w:pos="360"/>
        <w:tab w:val="center" w:pos="4320" w:leader="none"/>
        <w:tab w:val="right" w:pos="8640" w:leader="none"/>
      </w:tabs>
      <w:ind w:hanging="0" w:start="0" w:end="0"/>
      <w:jc w:val="start"/>
      <w:textAlignment w:val="auto"/>
    </w:pPr>
    <w:rPr>
      <w:sz w:val="24"/>
      <w:lang w:val="en-US" w:eastAsia="en-US"/>
    </w:rPr>
  </w:style>
  <w:style w:type="paragraph" w:styleId="BodyTextIndent3">
    <w:name w:val="Body Text Indent 3"/>
    <w:basedOn w:val="Normal"/>
    <w:qFormat/>
    <w:pPr>
      <w:widowControl w:val="false"/>
      <w:ind w:hanging="0" w:start="1080" w:end="0"/>
      <w:jc w:val="start"/>
      <w:textAlignment w:val="auto"/>
    </w:pPr>
    <w:rPr>
      <w:sz w:val="23"/>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535</Words>
  <Characters>0</Characters>
  <CharactersWithSpaces>3052</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2001-08-21T11:10:00Z</dcterms:created>
  <dc:creator>Patrick</dc:creator>
  <dc:description/>
  <dc:language>en-US</dc:language>
  <cp:lastModifiedBy/>
  <cp:lastPrinted>2001-08-21T10:32:00Z</cp:lastPrinted>
  <dcterms:modified xsi:type="dcterms:W3CDTF">2001-08-21T11:10:00Z</dcterms:modified>
  <cp:revision>2</cp:revision>
  <dc:subject/>
  <dc:title>August 13, 2001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jrozycki</vt:lpwstr>
  </property>
</Properties>
</file>