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bookmarkStart w:id="0" w:name="BM_1_"/>
      <w:bookmarkStart w:id="1" w:name="BM_1_"/>
      <w:bookmarkEnd w:id="1"/>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bookmarkStart w:id="2" w:name="QuickMark"/>
      <w:bookmarkEnd w:id="2"/>
      <w:r>
        <w:rPr>
          <w:b/>
        </w:rPr>
        <w:t>DRAFT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pPr>
      <w:r>
        <w:rPr>
          <w:b/>
          <w:strike/>
        </w:rPr>
        <w:t>December 17, 1999</w:t>
      </w:r>
      <w:r>
        <w:rPr>
          <w:b/>
        </w:rPr>
        <w:t xml:space="preserve"> </w:t>
      </w:r>
      <w:r>
        <w:rPr>
          <w:b/>
          <w:u w:val="double"/>
        </w:rPr>
        <w:t>January 4,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b/>
          <w:sz w:val="28"/>
        </w:rPr>
        <w:t>M E M O R A N D U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January 4,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t>RE:</w:t>
        <w:tab/>
        <w:t>Enron Corp. Comments on H.R. 2944, "Electricity Competition and Reliability Act," as reported from the Subcommittee on Energy and Power on October 27, 1999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b/>
        </w:rPr>
        <w:t>1.</w:t>
      </w:r>
      <w:r>
        <w:rPr/>
        <w:tab/>
      </w:r>
      <w:r>
        <w:rPr>
          <w:b/>
        </w:rPr>
        <w:t>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w:t>
        <w:tab/>
      </w:r>
      <w:r>
        <w:rPr>
          <w:b/>
          <w:i/>
          <w:u w:val="single"/>
        </w:rPr>
        <w:t>Equal Transmission Access for All Users and Separation of Functions</w:t>
      </w:r>
      <w:r>
        <w:rPr>
          <w:b/>
          <w:i/>
        </w:rPr>
        <w:t>.</w:t>
      </w:r>
      <w:r>
        <w:rPr/>
        <w:t xml:space="preserve">  The FERC's requirement, in Order Nos. 888 and 889, that the marketing function of utilities be separated from and deal at arms</w:t>
        <w:noBreakHyphen/>
        <w:t>length with utilities' transmission operations, has helped to reduce preferential treatment to utilities' marketing activities.  However, the FERC's orders apply only to utility wholesale sale and to "unbundled" retail service (</w:t>
      </w:r>
      <w:r>
        <w:rPr>
          <w:u w:val="single"/>
        </w:rPr>
        <w:t>i.e.</w:t>
      </w:r>
      <w:r>
        <w:rPr/>
        <w:t>, the separate provision of generation, transmission, and distribution services to a customer).  With respect to the transmission component of bundled retail service, there is no requirement that utilities charge themselves the same rate, observe the same priorities, reserve transmission through an OASIS, or observe the restrictions on the flow of information between employees engaged in the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Since the vast majority of the U.S. utility sales (approximately 85%) still consist of bundled retail service, the result of this limited application is that utilities are able to interfere with the proper working of both the wholesale and retail markets, by taking unfair advantage of this loophole.  As described in detail in the "Petition for Rulemaking on Electric Power Industry Structure and Commercial Practices" submitted to the FERC by Enron and others industry participants, the retail merchant component of vertically integrated utilities has unfettered access to non</w:t>
        <w:noBreakHyphen/>
        <w:t>public information about activities on the utility's transmission system and is able to schedule and curtail transmission relating to bundled retail sales without any of the safeguards to competition mandated with respect to wholesale sales and FERC</w:t>
        <w:noBreakHyphen/>
        <w:t>regulated transmission.  As a result, utilities are able to "game" and manipulate the system so that the open</w:t>
        <w:noBreakHyphen/>
        <w:t>access, transparent, and non</w:t>
        <w:noBreakHyphen/>
        <w:t>discriminatory regime envisaged in Order No. 888 is significantly undermined.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As was learned when these same issues were addressed in the natural gas pipeline industry, other than requiring separate ownership of merchant and transmission functions, the only way to eliminate the ability of vertically integrated utilities to obtain unfair advantages in competitive markets through ownership and control of their transportation or transmission facilities is to subject the merchant function, at both the wholesale and retail level, to the same rates, terms and conditions, and procedures for reserving capacity, that apply to unaffiliated users of the system.  The analogue in the electric power industry to what the FERC did in Order No. 636 is to (1) require that all retail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service providers, including vertically integrated utilities providing bundled retail service, purchase and schedule transmission services under the same open access tariff as is available to other, non</w:t>
        <w:noBreakHyphen/>
        <w:t xml:space="preserve">affiliated users, (2) require that all transmission service be offered, purchased and scheduled under a uniform, open access transmission tariff, under which all users pay the same rates for the same services, pursuant to the OASIS that the FERC has mandated for wholesale </w:t>
      </w:r>
      <w:r>
        <w:rPr>
          <w:strike/>
        </w:rPr>
        <w:t>sales and</w:t>
      </w:r>
      <w:r>
        <w:rPr/>
        <w:t xml:space="preserve"> transmission transactions, and (3) require vertically integrated utilities to separate their business functions, in a  manner similar to the separation of transportation and sales functions under Order No. 636 </w:t>
      </w:r>
      <w:r>
        <w:rPr>
          <w:strike/>
        </w:rPr>
        <w:t>on</w:t>
      </w:r>
      <w:r>
        <w:rPr/>
        <w:t xml:space="preserve"> </w:t>
      </w:r>
      <w:r>
        <w:rPr>
          <w:b/>
          <w:u w:val="double"/>
        </w:rPr>
        <w:t>applicable to</w:t>
      </w:r>
      <w:r>
        <w:rPr/>
        <w:t xml:space="preserve"> gas pipelines.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H.R. 2944, as reported by the Subcommittee on October 27, 1999 (the "Bill") takes the opposite position, in Section 101(b), by codifying FERC's </w:t>
      </w:r>
      <w:r>
        <w:rPr>
          <w:strike/>
        </w:rPr>
        <w:t>policy</w:t>
      </w:r>
      <w:r>
        <w:rPr/>
        <w:t xml:space="preserve"> </w:t>
      </w:r>
      <w:r>
        <w:rPr>
          <w:b/>
          <w:u w:val="double"/>
        </w:rPr>
        <w:t>incorrect</w:t>
      </w:r>
      <w:r>
        <w:rPr/>
        <w:t xml:space="preserve"> decision</w:t>
      </w:r>
      <w:r>
        <w:rPr>
          <w:strike/>
        </w:rPr>
        <w:t>, in Order No. 888,</w:t>
      </w:r>
      <w:r>
        <w:rPr/>
        <w:t xml:space="preserve"> not to extend federal open access policies to apply to the transmission component of bundled retail sales.  Section 101(b)(2)(B) amends the Federal Power Act to deny FERC jurisdiction over "the transmission of any bundled retail sale of electric energy."  For the reasons stated above, this change goes in the wrong direction and will significantly decrease the extent to which competition can work to reduce the cost of electricity, and will lock in the present approach under Order No. 888, which enables transmission owning utilities to favor their own generation with respect to the vast majority of their activities </w:t>
      </w:r>
      <w:r>
        <w:rPr>
          <w:b/>
          <w:u w:val="double"/>
        </w:rPr>
        <w:t>and to manipulate the energy commodity markets to their own advantage</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Instead of this approach, FERC's transmission jurisdiction should be clarified so as to include all transmission (not just wholesale and unbundled retail).  FERC should be directed to require all utilities to put </w:t>
      </w:r>
      <w:r>
        <w:rPr>
          <w:u w:val="single"/>
        </w:rPr>
        <w:t>all</w:t>
      </w:r>
      <w:r>
        <w:rPr/>
        <w:t xml:space="preserve"> uses of the transmission system under the same open access tariff and subject to the Order No. 888 and 889 requirements.  All scheduling and curtailment would thus be done on a nondiscriminatory, transparent, open access basis.  These requirements should apply to all transmission owners, including power marketing administrations, municipals, and cooperatives.   In addition, in order to eliminate discrimination and enhance competition in both wholesale and retail markets, the legislation should direct FERC to issue a final rule within 180 days to require all utilities to separate their various business functions.  At a minimum, a utility would be required to separate its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approach would also resolve the problem highlighted by the Eighth Circuit Court of Appeals in </w:t>
      </w:r>
      <w:r>
        <w:rPr>
          <w:u w:val="single"/>
        </w:rPr>
        <w:t>Northern States Power Co. v. FERC</w:t>
      </w:r>
      <w:r>
        <w:rPr/>
        <w:t xml:space="preserve">, 176 F.3d 1090 (8th Cir. 1999).  Under current law, FERC has jurisdiction over unbundled transmission service, but </w:t>
      </w:r>
      <w:r>
        <w:rPr>
          <w:strike/>
        </w:rPr>
        <w:t>has declined to assert</w:t>
      </w:r>
      <w:r>
        <w:rPr/>
        <w:t xml:space="preserve"> </w:t>
      </w:r>
      <w:r>
        <w:rPr>
          <w:b/>
          <w:u w:val="double"/>
        </w:rPr>
        <w:t>concluded that it lacked</w:t>
      </w:r>
      <w:r>
        <w:rPr/>
        <w:t xml:space="preserve">   jurisdiction over bundled retail transmission service, thus leaving such regulation to the individual states.  In </w:t>
      </w:r>
      <w:r>
        <w:rPr>
          <w:u w:val="single"/>
        </w:rPr>
        <w:t>Northern States Power</w:t>
      </w:r>
      <w:r>
        <w:rPr/>
        <w:t xml:space="preserve">, the Eighth Circuit </w:t>
      </w:r>
      <w:r>
        <w:rPr>
          <w:strike/>
        </w:rPr>
        <w:t>observed that FERC's requirement that a transmission owner provide "comparable" service to wholesale transmission customers and bundled retail customers conflicts with Minnesota's law prohibiting the curtailment of retail load absent an emergency or a shortage of electric supply</w:t>
      </w:r>
      <w:r>
        <w:rPr/>
        <w:t xml:space="preserve"> </w:t>
      </w:r>
      <w:r>
        <w:rPr>
          <w:b/>
          <w:u w:val="double"/>
        </w:rPr>
        <w:t>held that the Order No. 888 requirement that a utility curtail wholesale transmission on a comparable basis with curtailments of the transmission component of bundled service to native load retail customers exceeded the FERC's authority under the Federal Power Act</w:t>
      </w:r>
      <w:r>
        <w:rPr/>
        <w:t xml:space="preserve">.  Granting FERC jurisdiction over the transmission component of bundled retail service would </w:t>
      </w:r>
      <w:r>
        <w:rPr>
          <w:strike/>
        </w:rPr>
        <w:t>eliminate the possibility of such conflicts</w:t>
      </w:r>
      <w:r>
        <w:rPr/>
        <w:t xml:space="preserve"> </w:t>
      </w:r>
      <w:r>
        <w:rPr>
          <w:b/>
          <w:u w:val="double"/>
        </w:rPr>
        <w:t>moot this holding</w:t>
      </w:r>
      <w:r>
        <w:rPr/>
        <w:t xml:space="preserve"> and would lead to coherent, national standards governing 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u w:val="double"/>
        </w:rPr>
      </w:pPr>
      <w:r>
        <w:rPr>
          <w:b/>
          <w:u w:val="double"/>
        </w:rPr>
        <w:t>We are aware that some advocates have expressed concerns that such an approach could have an impact on the ability of utilities to continue to serve their native load customers.  We believe these concerns are not well founded.  First, Order No. 888 permits transmission providers to reserve sufficient capacity to serve native load, including future load growth. This approach thus allows a transmission owner to hold off the market and reserve for itself whatever firm capacity it expects to need to serve its own retail customers.  Moreover, transmission providers traditionally have had, and continue to possess, the responsibility under state law for planning and maintaining sufficient transmission capacity to serve their native load.  As a consequence, no utility is obligated to surrender  transmission capacity that is currently needed to serve native load, or is projected by the transmission provider to be needed in the future to serve native load, to transmission customers.  (To insure the continuation of this approach, this aspect of Order No. 888 could be expressly included in the legislation.)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u w:val="double"/>
        </w:rPr>
      </w:pPr>
      <w:r>
        <w:rPr>
          <w:b/>
          <w:u w:val="double"/>
        </w:rPr>
        <w:t>The only instance in which requirement the transmission component of bundled transmission to be subject to FERC jurisdiction might conceivably result in pro rate curtailment for native load is in the circumstance in which  the transmission provider, notwithstanding its above</w:t>
        <w:noBreakHyphen/>
        <w:t>described rights, chooses enhance its revenues by selling the rights to firm transmission capacity to third</w:t>
        <w:noBreakHyphen/>
        <w:t>party transmission customers, makes the mistake of selling too much capacity to others, so that in transmission</w:t>
        <w:noBreakHyphen/>
        <w:t>capacity constrained situations, it cannot both honor its contractual commitments to transmission customers and carry out its obligations to serve native load.  As a regulated monopoly provider, a transmission provider operating in a "closed" state remains obligated to make prudent decisions on behalf of its captive customers, and the decision about how much transmission capacity to reserve is no more challenging than decisions regarding generation planning or fuel purchasing, which utilities make on a routine basis.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We note that the electric industry does not condone failure by utilities to adhere to their contractual obligations, even if the utility's actions are intended to prevent disruptions to native load.  For example, as widely reported in the trade press, during the last week of July 1999, Cinergy violated  East Central Area Reliability Coordination Agreement by improperly drawing power it did not own from the interchange to meet its own supply obligations.</w:t>
      </w:r>
      <w:r>
        <w:rPr>
          <w:rStyle w:val="FootnoteCharacters"/>
          <w:rStyle w:val="FootnoteReference"/>
          <w:b/>
          <w:u w:val="double"/>
          <w:vertAlign w:val="superscript"/>
        </w:rPr>
        <w:footnoteReference w:id="2"/>
      </w:r>
      <w:r>
        <w:rPr>
          <w:b/>
          <w:u w:val="double"/>
        </w:rPr>
        <w:t xml:space="preserve">  The trade press reported that violation of these requirements made the grid more vulnerable to blackouts and threatened to damage electric equipment on the grid's infrastructure.</w:t>
      </w:r>
      <w:r>
        <w:rPr>
          <w:rStyle w:val="FootnoteCharacters"/>
          <w:rStyle w:val="FootnoteReference"/>
          <w:b/>
          <w:u w:val="double"/>
          <w:vertAlign w:val="superscript"/>
        </w:rPr>
        <w:footnoteReference w:id="3"/>
      </w:r>
      <w:r>
        <w:rPr>
          <w:b/>
          <w:u w:val="double"/>
        </w:rPr>
        <w:t xml:space="preserve">  The point is that electric industry standards do not permit utilities to violate their commitments, even if adhering to commitments can result in curtailments of native load.  By conforming to industry planning and operating standards, whether in power supply or transmission, utilities can protect  their native load customers, their interconnected utilities, and their transmission customers from harm while adhering to their contractual obligations.  Placing all transmission under FERC jurisdiction will thus not mandate any different type of commitment than is already required to maintain system reliability.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u w:val="double"/>
        </w:rPr>
      </w:pPr>
      <w:r>
        <w:rPr>
          <w:b/>
          <w:u w:val="double"/>
        </w:rPr>
        <w:t>In this regard, we further note that Congress has enacted an amendment to the Federal Power Act which prohibits discrimination against wholesale customers in favor of retail customers during shortages of electric energy or capacity.  Section 202(g) of the Federal Power Act, which was added by Section 206 of PURPA, was intended to prevent utilities from discriminating against wholesale customers during periods of shortage of energy or capacity B circumstances which, from a quality of service perspective, are identical to those associated with shortages of transmission capacity.   Section 206 mandates that, "[i]n order to insure continuity of service to customers of public utilities," the FERC must, by rule, require public utilities, among other things, to "accommodate any [shortages of electric energy or capacity which would affect a utility's capability of serving its wholesale customers] in a manner which shall ...provide that all persons served directly or indirectly by such public utility will be treated, (sic) without undue prejudice or disadvantage."   An approach under which all transmission (including the transmission component of bundled retail service) is subject to FERC jurisdiction, under which the FERC has a similar obligation with respect to shortages of transmission capacity,  with the proviso that transmission providers have the "first call" to reserve capacity for native load, would not impose any unreasonable obligation on transmission providers.  Such an approach is necessary to insure that customers of competitors, as well as  captive customers of monopoly transmission providers, can obtain a continuous, reliable supply of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b/>
          <w:u w:val="double"/>
        </w:rPr>
      </w:pPr>
      <w:r>
        <w:rPr>
          <w:b/>
          <w:u w:val="double"/>
        </w:rPr>
        <w:t>Finally, concerns about states' ability to establish rates have been raised as an important issue to address, if FERC were granted explicit jurisdiction over the transmission component of bundled retail service.  The legislation  could be modified to require that the transmission component of rates for transmission in closed states be developed according to the pertinent state's ratemaking practices.  FERC could be directed to "consult" or "pay deference" to state ratemaking practices in the case of transmission in a state that has not adopted customer choice at retail.  If FERC determines that changing the rate structure that is currently in effect would result in increased rates for bundled retail customers, it would be directed to develop different rates or a mitigation plan.  Either a consultative mechanism, or a "deference" mechanism would be responsive to the viewpoint, expressed by representatives of state utility commissions, that  the states may be able to agree to FERC jurisdiction if they have a role in the process.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b/>
          <w:u w:val="double"/>
        </w:rPr>
      </w:pPr>
      <w:r>
        <w:rPr>
          <w:b/>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B.</w:t>
        <w:tab/>
      </w:r>
      <w:r>
        <w:rPr>
          <w:b/>
          <w:i/>
          <w:u w:val="single"/>
        </w:rPr>
        <w:t>Regional Transmission Organizations</w:t>
      </w:r>
      <w:r>
        <w:rPr>
          <w:b/>
          <w:i/>
        </w:rPr>
        <w:t>.</w:t>
      </w:r>
      <w:r>
        <w:rPr/>
        <w:t xml:space="preserve">  The Bill basically eliminates the authority proposed in the Discussion Draft, and widely-called for in other legislative proposals, respecting the FERC's authority to require participation in RTOs.  Section 103 of the Bill amends section 202 of the Federal Power Act to provide that FERC is given no authority to compel a transmitting utility to join an RTO; instead, the FERC is mandated to approve applications by transmitting utilities to join an RTO, if the FERC determines that the RTO meets the specified standard.  FERC is expressly prohibited from requiring a transmitting utility that applies to join a complying RTO from joining a different RTO; moreover, FERC is required to permit an applicant to join an RTO to withdraw from the RTO, if the FERC decides to impose terms or conditions other than those proposed by the applicant.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This version of RTO legislation leaves FERC without any authority to compel utilities to participate in RTOs.  We note that  the FERC's final rule on RTOs interprets </w:t>
      </w:r>
      <w:r>
        <w:rPr>
          <w:strike/>
        </w:rPr>
        <w:t>existing sections 205 and 206 of the</w:t>
      </w:r>
      <w:r>
        <w:rPr/>
        <w:t xml:space="preserve"> </w:t>
      </w:r>
      <w:r>
        <w:rPr>
          <w:b/>
          <w:u w:val="double"/>
        </w:rPr>
        <w:t>several</w:t>
      </w:r>
      <w:r>
        <w:rPr/>
        <w:t xml:space="preserve"> Federal Power Act </w:t>
      </w:r>
      <w:r>
        <w:rPr>
          <w:b/>
          <w:u w:val="double"/>
        </w:rPr>
        <w:t>provisions (including sections 203, 205 and 206)</w:t>
      </w:r>
      <w:r>
        <w:rPr/>
        <w:t xml:space="preserve"> as granting FERC the authority to compel a utility to participate in an RTO, this interpretation will be challenged in the courts.  However, the enactment of Section 103 will no doubt be used to argue that since Congress expressly addresses the topic of RTOs in new Section 202 of the FPA, and therein denies FERC the authority to mandate participation, Sections 205 and 206, which do not expressly address this topic, cannot be relied upon as a grant of authority in this area.  Thus the Bill would represent a significant reduction in the authority of the FERC to insure non</w:t>
        <w:noBreakHyphen/>
        <w:t>discriminatory uses of the nation's bulk transmission system and would constitute a major retreat from the status quo.  The result would be that many utility and utility holding company systems would continue as non</w:t>
        <w:noBreakHyphen/>
        <w:t>participants in an RTO, and transmission customers seeking to use their systems would continue to encounter "pancaked" transmission rates, and will continue to suffer from the absence of the regional transmission planning and operating benefits that could be provided by an RTO.</w:t>
      </w:r>
      <w:r>
        <w:rPr>
          <w:b/>
          <w:u w:val="double"/>
        </w:rPr>
        <w:t xml:space="preserve">  These circumstances, in turn, would adversely affect the development of the competitive energy commodity market and reduce the advantages that consumers might otherwise obtain from unconstrained competition among sellers.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summary, the Bill's undermining the FERC's authority to require transmitting utilities to participate in RTOs, combined with its mandate that FERC's open access policies not apply to the transmission component of bundled retail sales and the lack of a mandate for open retail access, constitutes a "triple-whammy" against the creation of  competitive markets  for electricity in the U.S.  Utilities that seek to use the monopoly power associated with their transmission facilities to advantage their own generation sources will be permitted to do so, with respect to their bundled retail sales; they will be permitted to maintain their position as the franchised monopoly retail supplier and to deny access to others who would provide competition for retail sales, and they will be permitted to operate their transmission systems on an insular basis which maintains pancaked transmission 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u w:val="double"/>
        </w:rPr>
      </w:pPr>
      <w:r>
        <w:rPr>
          <w:b/>
          <w:u w:val="double"/>
        </w:rPr>
        <w:t>2.</w:t>
        <w:tab/>
        <w:t>Consumer Disclosure.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strike/>
        </w:rPr>
        <w:t>2. Consumer Disclosure.</w:t>
      </w:r>
      <w:r>
        <w:rPr/>
        <w:t xml:space="preserve"> Section 3 of the Bill provides that any state law adopted up to three years after the enactment of the Bill which addresses any matter addressed by, among other  provisions, Title III of the Bill (the Consumer Protection provisions, including the Consumer Disclosure section), will displace the federal law provision. (The other provisions subject to "state law preemption" are section 532, the interconnection provisions for distributed generation, the aggregation provisions, section 531, and section 702, the net metering provision.)  While paragraph 301(b)(2) of the Bill provides that both federal and consistent state law are to apply to disclosure of generation sources and emissions, the Section 3 grandfathering provision would displace federal law with state law.  As discussed below, given the regional nature of the electricity market, the opposite approach B namely an exclusive, uniform, federal standard </w:t>
        <w:noBreakHyphen/>
        <w:t xml:space="preserve"> should be adopted</w:t>
      </w:r>
      <w:r>
        <w:rPr>
          <w:strike/>
        </w:rPr>
        <w:t>,</w:t>
      </w:r>
      <w:r>
        <w:rPr>
          <w:b/>
          <w:u w:val="double"/>
        </w:rPr>
        <w: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A.</w:t>
        <w:tab/>
      </w:r>
      <w:r>
        <w:rPr>
          <w:b/>
          <w:i/>
          <w:u w:val="single"/>
        </w:rPr>
        <w:t>Emissions Information</w:t>
      </w:r>
      <w:r>
        <w:rPr>
          <w:b/>
          <w:i/>
        </w:rPr>
        <w:t>.</w:t>
      </w:r>
      <w:r>
        <w:rPr/>
        <w:t xml:space="preserve">  Section 301 establishes a well intentioned but impractical approach to consumer disclosure for generation sources for sales of both retail and wholesale power.  Retail and wholesale sellers, including power marketers, would be required to provide, for every sale, a vast amount of information, including "the share of electric energy that is generated by each type of energy generation resource," and information regarding emissions, as required by the FTC.  In today's trading markets, which involve multiple wheeling transactions, substitution of generation sources when primary sources are available, and computer</w:t>
        <w:noBreakHyphen/>
        <w:t xml:space="preserve">speed transactions, it is either impossible, or extremely expensive, to obtain and provide this type of information; and while the FTC's requirements are limited to those that are "technologically and economically feasible to provide," it is Enron's experience that many policy makers have found it difficult to </w:t>
      </w:r>
      <w:r>
        <w:rPr>
          <w:strike/>
        </w:rPr>
        <w:t>grasp</w:t>
      </w:r>
      <w:r>
        <w:rPr/>
        <w:t xml:space="preserve"> </w:t>
      </w:r>
      <w:r>
        <w:rPr>
          <w:b/>
          <w:u w:val="double"/>
        </w:rPr>
        <w:t>appreciate</w:t>
      </w:r>
      <w:r>
        <w:rPr/>
        <w:t xml:space="preserve"> the technological problems and costs associated with implementing such an approach.  However, the goal of this provision, to inform consumers as to the type of generation sources that are available and to encourage consumers to select more socially desirable generation, can be much more efficiently accomplished through a "certificate" approach.  That approach, which is being tested by the Automated Power Exchange in California, offers the opportunity for generators to obtain certificates for various types of generation, and to send appropriate price signals to consumers by permitting trading of the certificates without the need to attempt to trace the actual flow of electrons from the generator to the load.  This approach accomplishes the consumer disclosure goal while not interfering with the wholesale power market or trading in that market.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B.</w:t>
        <w:tab/>
      </w:r>
      <w:r>
        <w:rPr>
          <w:b/>
          <w:i/>
          <w:u w:val="single"/>
        </w:rPr>
        <w:t>Price Information</w:t>
      </w:r>
      <w:r>
        <w:rPr>
          <w:b/>
          <w:i/>
        </w:rPr>
        <w:t>.</w:t>
      </w:r>
      <w:r>
        <w:rPr/>
        <w:t xml:space="preserve">  In addition, paragraph (b) requires the FTC to impose specific requirements regarding pricing to be included in a statement that retail electric suppliers must provide to retail consumers.  Enron retail affiliates engage in many transactions in which, for example, electric requirements are provided at a single "all-in" price (</w:t>
      </w:r>
      <w:r>
        <w:rPr>
          <w:u w:val="single"/>
        </w:rPr>
        <w:t>e.g.</w:t>
      </w:r>
      <w:r>
        <w:rPr/>
        <w:t>, $1 million/year to provide all the energy needs of an industrial facility), and a requirement that the price of all charges associated with providing such service, such as "access charges, exit charges, back</w:t>
        <w:noBreakHyphen/>
        <w:t>up service charges, and customer service charges" would be extremely burdensome and would be irrelevant in this context.</w:t>
      </w:r>
      <w:r>
        <w:rPr>
          <w:strike/>
        </w:rPr>
        <w:t xml:space="preserve"> The goal of insuring that appropriate consumer price information is provided in the proper context can be satisfied by relying on the FTC's judgment as to what is "technologically and economically feasible."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C.</w:t>
        <w:tab/>
      </w:r>
      <w:r>
        <w:rPr>
          <w:b/>
          <w:i/>
          <w:u w:val="single"/>
        </w:rPr>
        <w:t>Uniform National Standard</w:t>
      </w:r>
      <w:r>
        <w:rPr>
          <w:b/>
          <w:i/>
        </w:rPr>
        <w:t>.</w:t>
      </w:r>
      <w:r>
        <w:rPr/>
        <w:t xml:space="preserve">  As in other industries that have been subjected to varying regulations by different states, subjecting retail suppliers to regulation by the FTC, and allowing the states to impose additional requirements (see paragraph (e)) could make compliance extremely expensive.  In the retail supply business, a key goal is for marketers to be in a position to serve many locations of a commercial or industrial customers pursuant to a single master contract and to use standardized billing.  In this era of instantaneous transfer of the product hundreds of miles across many state borders, a preemptive uniform national standard should be relied upon to provide appropriate disclosure to consumers while not undermining the goal of consumers to reduce the costs of the product they are purchasing.  While paragraph (e) requires that standards adopted by individual states not be inconsistent with the Bill or with the FTC's rules, there is a significant risk that those not involved in the nuts-and-bolts of trading will, for example, not consider multiple layers of state laws to be inconsistent with federal standards.  In fact, given the multi</w:t>
        <w:noBreakHyphen/>
        <w:t>state nature of today's energy trading markets, the burdens of complying with numerous state laws, in addition to federal law, would constitute a substantial obstacle to the functioning of competitive markets.  Finally, as noted above, application of the "state law preemption" approach set forth in Section 3 of the Bill would result in the absence of a uniform federal standard and the adoption of a crazy</w:t>
        <w:noBreakHyphen/>
        <w:t>quilt of inconsistent state laws, as result that could significantly disrupt the functioning of the interstate power market.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r>
        <w:rPr>
          <w:strike/>
        </w:rPr>
        <w:t>3. Retail Reciprocity.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r>
        <w:rPr>
          <w:strike/>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r>
        <w:rPr>
          <w:strike/>
        </w:rPr>
        <w:t>The Bill does not contain a retail reciprocity provision; however, efforts may be made to reinsert such a provision in the Bill. Enron opposes the inclusion of a retail reciprocity provision because of potential of such a provision to eliminate much needed competitors from retail markets. Accordingly, Enron's first choice would be to continue not to include any reciprocity provision. If such a provision is included, we note that prior versions of reciprocity provisions, including Section 501 of the Subcommittee's Discussion Draft, prohibit a retail supplier that owns or controls, or has an affiliate which owns or controls, retail distribution facilities that are not "open" to retail access, from selling energy to retail customers in transactions involving local distribution facilities owned by another entity. Section 501 of the Discussion Draft proposed to add a new section of Section 219 of the FPA, which addressed the circumstance in which a distribution utility or an affiliated retail supplier has attempted to implement retail access on its system by filing a plan to provide open access with the relevant State commission. This provision appropriately sought to prevent an affiliated retail supplier from being held "captive" as a result of the policies of the State commission which regulates its affiliated utility. If this provision is re</w:t>
        <w:noBreakHyphen/>
        <w:t>adopted, to insure that it achieves the desired effect, it should be clarified that the filing of a plan to provide open access protects the affiliates of a distribution utility from being excluded from retail markets in other states, irrespective of whether the State commission with which such a plan is filed adopts, partially adopts or rejects the filed proposal. Also, the exception must apply irrespective of whether the open access plan was filed prior to the enactment of the new legislation.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r>
        <w:rPr>
          <w:strike/>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r>
        <w:rPr>
          <w:strike/>
        </w:rPr>
        <w:t>Moreover, if a retail provision is added to the Bill, the retail reciprocity provision should be amended to provide a three</w:t>
        <w:noBreakHyphen/>
        <w:t>year phase in. This will provide utilities and State commissions adequate time to reassess their policies, in light of the potentially punitive effect of remaining closed to retail access.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4.</w:t>
        <w:tab/>
        <w:t>PUHCA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noted above, with the elimination of a "date certain" for open retail access, failure to provide explicit authority for FERC to compel transmitting utilities to participate in an RTO, and the reservation of jurisdiction over the transmission component of bundled retail sales to the States, the Bill has eliminated virtually all of the "carrots and sticks" for "closed" states and their utilities to provide open retail access.  Several large holding company systems, which are supportive of PUHCA repeal as a way to expand their utility and non</w:t>
        <w:noBreakHyphen/>
        <w:t>utility businesses, continue to provide monopoly franchised retail service in a multitude of closed States, thus foreclosing competition in a large portion of the nation.  To incentivize these States and utilities to enable competition to benefit their retail consumers, PUHCA repeal should be conditioned, as provided in the Markey Amendment, so as not to apply to holding company systems with operating utility subsidiary companies in two or more "closed" states.  Under this approach, utilities which behave as they did in the pre</w:t>
        <w:noBreakHyphen/>
        <w:t>competition era will have to live with the regulatory framework that Congress determined was necessary to prevent the opportunity for investor and consumers abuses that occurred in that paradigm.  Should these holding companies welcome competition by providing open access in some of the States in which their utility subsidiaries provide retail service, they will be freed from the constraints of PUHCA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With respect to the specific proposals, with the above-noted caveat, Enron supports PUHCA repeal; however, the proposal in Section 511 would increase the regulation to which "exempt" holding companies, such as Enron Corp., are subjected, while virtually eliminating the pervasive regulation to which "registered" holding companies are subjected.  This anomalous effect results from the increased access to books and records and authority to require record keeping granted to State commissions and to FERC.  First, it makes no sense that the regulation to which exempt holding companies are subjected should increase as a result of PUHCA repeal.  Second, even if such authority is to be expanded, the FERC's and State commissions' authority should be limited to the specific affiliate that transacts with a regulated utility; as now drafted, the legislation would permit State commissions to review books and records of entities that are engaged solely in unregulated activities and have no interaction with a regulated electric or gas utility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Also, under current law, an company whose sole utility assets or subsidiaries are qualifying facilities, exempt wholesale generators, and/or foreign utility companies, does not become a holding company under PUHCA.  The Bill, in section 505, would treat such a company as a holding company and would require FERC to issue a rule exempting such companies from Section 503 of the Bill, which requires FERC access to a holding companies books and records.  Moreover, the exemption does not even apply to state commission access under Section 504.  As a consequence, non</w:t>
        <w:noBreakHyphen/>
        <w:t>utility "IPP" companies which heretofore have been exempt from state and federal utility regulation would, as a result of the repeal of PUHCA, become subject to significant additional state and, depending on FERC's final rule, federal regulation.  This provision should be amended to exclude, by statute, "IPP" companies from classification as a holding company under  Subtitle A of Title IV of the Bill.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5.</w:t>
        <w:tab/>
        <w:t>Consumer Privacy and Metering.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noted previously, Section 3 of the Bill provides that if, in the time frame ending three years after enactment, a State law or regulation "addresses" any of several specified matters, including consumer privacy, addressed by the Bill, the State law displaces federal law.  This approach will render virtually meaningless much of the privacy provisions, in that those states that protect consumers rights and insure that all competitors have equal access to crucial billing data have already enacted such state laws, whereas states that do not support consumers' privacy or retail competition are given a three-year window in which to enact legislation which merely "addresses" these subject matters and the federal law will cease to apply.  Enron believes that thee consumer privacy and competitive access goals of Section 302 are far too important to permit them to be rendered meaningless by Section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With regard to the substantive provisions, Enron supports Section 302, which requires the FTC to adopt rules relating to preserving the privacy of consumer information.  Enron also urges the inclusion of provisions guaranteeing to consumers the right to install, or to select a competitive supplier to install metering, so that consumers have the ability directly to determine the appropriate treatment of data concerning their own load data; however, provisions should be added to provide that, irrespective of who owns a customer's meter, procedures are available pursuant to which potential competitive retail suppliers can obtain access to information regarding customer usage patterns, provided that commercial and industrial customers must be permitted to restrict access to information that could provide sensitive information to competitors.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6.</w:t>
        <w:tab/>
        <w:t>Expansion of and Eminent Domain for Transmission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105 amends the FPA to permit FERC to order utilities to expand transmission facilities.  This requirement confirms and expands the same requirement that is now in FERC Order No. 888.  However,  </w:t>
      </w:r>
      <w:r>
        <w:rPr>
          <w:b/>
          <w:u w:val="double"/>
        </w:rPr>
        <w:t>Enron recommends that the legislation also  include a provision granting FERC</w:t>
        <w:noBreakHyphen/>
        <w:t>certified transmission projects the power of eminent to domain, so as to enable such projects to proceed more expeditiously. The requirement for such authority is based on the fact that</w:t>
      </w:r>
      <w:r>
        <w:rPr/>
        <w:t xml:space="preserve"> the key obstacle to expansion of utility transmission systems is the requirement to obtain individual permits or approvals from each State, and many local jurisdictions, in which the lines are being constructed.  This is especially problematic if a line is planned through one State, but the beneficiaries of the line are in another.  Enron accordingly recommends </w:t>
      </w:r>
      <w:r>
        <w:rPr>
          <w:b/>
          <w:u w:val="double"/>
        </w:rPr>
        <w:t>approach similar to</w:t>
      </w:r>
      <w:r>
        <w:rPr/>
        <w:t xml:space="preserve"> that </w:t>
      </w:r>
      <w:r>
        <w:rPr>
          <w:strike/>
        </w:rPr>
        <w:t>the legislation include a provision FERC</w:t>
        <w:noBreakHyphen/>
        <w:t>certified transmission projects the power of eminent to domain, so as to enable such projects to proceed more expeditiously. This approach would be similar</w:t>
      </w:r>
      <w:r>
        <w:rPr/>
        <w:t xml:space="preserve"> established by Section 7 of the Natural Gas Act.  In that statutory scheme, the FERC has the authority to certificate interstate pipeline facilities.  The certificate enables the pipeline to exercise the power of eminent domain.  Authorizing FERC to function similarly on the electric transmission side, including granting certificates to appropriate transmission projects, along with the power of eminent domain, is required if any real progress is to be made in alleviating transmission constraints.  One advantage of PUHCA repeal, as provided in Title V of the Bill, is that the PUHCA barriers associated with the creation of stand</w:t>
        <w:noBreakHyphen/>
        <w:t>alone transmission companies ("transcos") will be eliminated.  In order to enable new transcos to benefit from these amendments, the FERC's certification authority should be available to "start-up" transcos; one approach would be confirm the status of a transco whose transmission rates have been accepted for filing under Section 205 of the FPA as a "public utility" that may be granted certificate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7.</w:t>
        <w:tab/>
        <w:t>Bonneville, TVA, and Other PMA's.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Enron supports putting all transmission under FERC's jurisdiction in order to further the goals of open access and competition.  This should apply equally to all Federal facilities, including the Bonneville Power Administration (BPA), the Tennessee Valley Authority (TVA), and the other power marketing administrations (PMA's).  The Discussion Draft does not address the TVA issues, so Enron is reserving comment as to specifics of TVA restructuring.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 VI, Subtitle B, proposes to place BPA's transmission function under the Federal Power Act subject to FERC's authority.  We support this effort but disagree with the many proposed exemptions to this jurisdiction.  These exemptions should be deleted because they are aimed at placating certain regional interests and thereby undermine the benefits of full FPA regulation for the majority of BPA transmission customers.  These exemptions are conspicuously absent from the draft Tennessee Valley Authority subtitle being circulated by Rep. Ed Bryant and from Subtitle C, which addresses the other power marketing administrations.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Enron opposes a surcharge on BPA's transmission service to recover shortfalls in BPA's power business line's costs for two reasons.  First, the surcharge would force competitors of BPA's power business to subsidize BPA's power business line's sales.  Second, the Bryant draft TVA subtitle includes no similar provision. Rather, the subtitle would have the FERC promulgate regulations to provide for stranded cost recovery (as determined by the FERC) from any departing customer that caused the stranded costs to be incurred.  This is consistent with Order No. 888's requirements; the same principle should apply to BPA as well.  It would force BPA to submit any subsidies of its power business to public scrutiny before FERC under the same standards the FERC has imposed on investor</w:t>
        <w:noBreakHyphen/>
        <w:t>owned utilities.</w:t>
      </w:r>
      <w:r>
        <w:rPr>
          <w:strike/>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8.</w:t>
        <w:tab/>
        <w:t>Incentive Rates for Transmission.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 </w:t>
      </w:r>
      <w:r>
        <w:rPr/>
        <w:t xml:space="preserve">Section 105 of the Bill amends the Federal Power Act by adding, among other things, Section 217, which addresses incentive rates for transmission.  Section 217(a) of the FPA would permit transmitting utilities to recover costs of enlarging transmission facilities; however, notwithstanding the requirement in paragraph 217(c)(1) that rates be "just and reasonable," the language of Section 217(a) implies that cost recovery is permitted for all  </w:t>
      </w:r>
      <w:r>
        <w:rPr>
          <w:strike/>
        </w:rPr>
        <w:t>costs</w:t>
      </w:r>
      <w:r>
        <w:rPr/>
        <w:t xml:space="preserve"> transmission costs, regardless of whether they </w:t>
      </w:r>
      <w:r>
        <w:rPr>
          <w:strike/>
        </w:rPr>
        <w:t>were prudently incurred or</w:t>
      </w:r>
      <w:r>
        <w:rPr/>
        <w:t xml:space="preserve">, for example, </w:t>
      </w:r>
      <w:r>
        <w:rPr>
          <w:strike/>
        </w:rPr>
        <w:t>reflected</w:t>
      </w:r>
      <w:r>
        <w:rPr/>
        <w:t xml:space="preserve"> </w:t>
      </w:r>
      <w:r>
        <w:rPr>
          <w:b/>
          <w:u w:val="double"/>
        </w:rPr>
        <w:t>reflect</w:t>
      </w:r>
      <w:r>
        <w:rPr/>
        <w:t xml:space="preserve"> significant cost overruns </w:t>
      </w:r>
      <w:r>
        <w:rPr>
          <w:b/>
          <w:u w:val="double"/>
        </w:rPr>
        <w:t>caused by management imprudence</w:t>
      </w:r>
      <w:r>
        <w:rPr/>
        <w:t>.  Paragraph 217(b) requires FERC to take into account "the incremental cost and benefit to interconnected transmission systems of such facilities."  If, for example, a transmission line costs $10 million but provides benefits of $100 million, this language might be construed as requiring that rates be set anywhere in the $10</w:t>
        <w:noBreakHyphen/>
        <w:t>$100 million range.  Because transmission facilities are generally viewed as "essential facilities" with monopoly characteristics, transmission owners have not been permitted to capture the monopoly rents associated with deregulated pricing.  A preferable approach would  be to require the FERC to find that there is "effective competition," as provided for in proposed FPA Section 217(f), discussed below, as a condition to permitting rates in excess of cost.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217(e), which would permit transmission owners to charge negotiated rates, may provide incentives for transmission projects to be constructed in scenarios where traditional utility ratemaking techniques may fail to provide the appropriate reward associated with the risks of the investment.  However, it should be recognized that historically, monopoly utility transmission owners have been able to extract "negotiated" contracts with captive customers, and that the FERC, under its Section 206 authority to revise rates so as to render them "just and reasonable," has in many instances, on complaint filed by the captive customer contracting party, adjusted "negotiated" rates, terms and conditions.  It is not clear that Section 217(e) would permit this type of adjustment; indeed to do so would appear to be contrary to the purpose of this provision.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217(f) permits the FERC, on a finding that the relevant geographic and product markets for transmission services </w:t>
      </w:r>
      <w:r>
        <w:rPr>
          <w:u w:val="single"/>
        </w:rPr>
        <w:t>or</w:t>
      </w:r>
      <w:r>
        <w:rPr/>
        <w:t xml:space="preserve"> for delivered wholesale power are "subject to effective competition," to permit transmitting utilities to charge market</w:t>
        <w:noBreakHyphen/>
        <w:t>based rates for transmission. First, for existing transmission facilities, "market-based rates" provide a windfall to facility owners while not increasing supply. Accordingly, market rate authority should be limited to  transmission facilities placed in service after enactment of the Bill.  Second, while the restriction limiting market</w:t>
        <w:noBreakHyphen/>
        <w:t xml:space="preserve">based rates to competitive circumstances is sensible, it should be limited to situations in which there is effective competition for transmission.  That there is a competitive market for </w:t>
      </w:r>
      <w:r>
        <w:rPr>
          <w:u w:val="single"/>
        </w:rPr>
        <w:t xml:space="preserve">generation </w:t>
      </w:r>
      <w:r>
        <w:rPr/>
        <w:t>does not prevent a transmission owner from charging higher</w:t>
        <w:noBreakHyphen/>
        <w:t>than</w:t>
        <w:noBreakHyphen/>
        <w:t>market clearing prices, which, in turn, results in a suboptimal allocation of society's resources.  Conversely, if a potential transmission customer is able to select from among several transmission providers, the threat of competition will effectively constrain the market</w:t>
        <w:noBreakHyphen/>
        <w:t>rates that the transmission owners can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rPr>
        <w:t>9.</w:t>
        <w:tab/>
        <w:t>Mergers and Divestitures</w:t>
      </w:r>
      <w:r>
        <w:rPr>
          <w:b/>
          <w:u w:val="double"/>
        </w:rPr>
        <w: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u w:val="double"/>
        </w:rPr>
      </w:pPr>
      <w:r>
        <w:rPr>
          <w:b/>
          <w:u w:val="double"/>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b/>
          <w:u w:val="double"/>
        </w:rPr>
      </w:pPr>
      <w:r>
        <w:rPr>
          <w:b/>
          <w:u w:val="double"/>
        </w:rPr>
        <w:t>Enron first notes that the Bill does not contain the "divestiture" provision, which the Administration Bill and several other electricity restructuring bills contain, which gives FERC the authority to compel divestiture based on a finding of market power and the ineffectiveness of other remedies to alleviate such market power.  In order to insure that the acquisition of market power by participants in the bulk power markets does not undermine the intended results of this program, the legislation should be amended to provide FERC authority to require divestitures, where market power cannot effectively be eliminated through less intrusive measures, such as denial of the authority to sell power at market based rates.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u w:val="double"/>
        </w:rPr>
      </w:pPr>
      <w:r>
        <w:rPr>
          <w:b/>
          <w:u w:val="double"/>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u w:val="double"/>
        </w:rPr>
        <w:t>Also,</w:t>
      </w:r>
      <w:r>
        <w:rPr/>
        <w:t xml:space="preserve"> Section 402 of the Bill amends Section 203 of the Federal Power Act, which governs mergers and sales of jurisdictional assets, by imposing a 180 day deadline for FERC action.  First, as a drafting matter, although it appears that the drafters intend to force FERC to act within 180 days by permitting such transactions to occur  without  prior FERC approval, following the 180 day period, new Section 203(a)(2) does not make clear what happens if the FERC fails to act within that period.  Second, this provision mandates that FERC , if it makes the requisite findings, "approve" the transaction.  In many instances, FERC has found it necessary to impose conditions on proposed mergers and acquisitions, in order to render then acceptable.  The "shall approve" language here raises questions regarding the continued availability of that process.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More importantly, in merger cases raising complex substantive  issues and involving numerous parties, 180 days following filing is simply too short a time period to complete discovery necessary for an effective hearing, the hearing itself, which may be required by the Administrative Procedures Act if there are material disputed issues of fact, and briefing to the administrative law judge and the full Commission.  A legislative mandate to shorten the period for decision making to an unrealistic time</w:t>
        <w:noBreakHyphen/>
        <w:t>frame is counterproductive, in that it may lead the FERC to deny applications with which it has questions, rather than risk approving them based on an inadequate record.  On the other hand, a one</w:t>
        <w:noBreakHyphen/>
        <w:t>year deadline is more realistic and still would serve to expedite cases which have taken more than that time.  Finally, as a procedural matter, the clock is started by the filing of an application.  In order for this approach to work effectively, FERC, in other areas, such as QF filings, has been at times able to circumvent deadlines by deeming applications to be "incomplete" and therefore not accept them for filing.   This provision should be amended to require FERC to establish clear guidelines on what must be included in an application and to prohibit FERC from rejecting an application that contains the required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Enron notes that the Bill does not contain the "divestiture" provision, which the Administration Bill and several other electricity restructuring bills contain, which gives FERC the authority to compel divestiture based on a finding of market power and the ineffectiveness of other remedies to alleviate such market power. In order to insure that the acquisition of market power by participants in the bulk power markets does not undermine the intended results of this program, the legislation should be amended to provide FERC authority to require divestitures, where market power cannot effectively be eliminated through less intrusive measures, such as denial of the authority to sell power at market based 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10.</w:t>
        <w:tab/>
        <w:t>Interconnection Procedures.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532 of the Bill contains several favorable changes to the FPA's interconnection provisions.  First, paragraph 532(a) adds new Section 210(f) to the FPA by adding a requirement that local distribution companies interconnect with distributed generation facilities,</w:t>
      </w:r>
      <w:r>
        <w:rPr>
          <w:u w:val="single"/>
        </w:rPr>
        <w:t xml:space="preserve"> i.e.</w:t>
      </w:r>
      <w:r>
        <w:rPr>
          <w:b/>
          <w:u w:val="double"/>
        </w:rPr>
        <w:t>,</w:t>
      </w:r>
      <w:r>
        <w:rPr/>
        <w:t xml:space="preserve"> facilities that provide "inside-the-fence" service and export or import additional power.  </w:t>
      </w:r>
      <w:r>
        <w:rPr>
          <w:strike/>
        </w:rPr>
        <w:t>[NB: The term "distributed generation facilities" is not defined. This may be helpful, since as drafted it would permit, for example, a large combined cycle facility providing third</w:t>
        <w:noBreakHyphen/>
        <w:t>party power to retail customer would be able to avail itself of the interconnection at the distribution level standards. If we raise the issue, a capacity or renewable fuel standard might be added to the definition of distribution generation.]</w:t>
      </w:r>
      <w:r>
        <w:rPr/>
        <w:t xml:space="preserve"> Also, the FERC is required to issue rule establishing uniform standards </w:t>
      </w:r>
      <w:r>
        <w:rPr>
          <w:strike/>
        </w:rPr>
        <w:t>for</w:t>
      </w:r>
      <w:r>
        <w:rPr/>
        <w:t xml:space="preserve"> </w:t>
      </w:r>
      <w:r>
        <w:rPr>
          <w:b/>
          <w:u w:val="double"/>
        </w:rPr>
        <w:t>relating to</w:t>
      </w:r>
      <w:r>
        <w:rPr/>
        <w:t xml:space="preserve"> safety, reliability and power quality standards </w:t>
      </w:r>
      <w:r>
        <w:rPr>
          <w:b/>
          <w:u w:val="double"/>
        </w:rPr>
        <w:t>for interconnection of distributed generation facilities.</w:t>
      </w:r>
      <w:r>
        <w:rPr/>
        <w:t>.  These provisions, if binding, would go far toward enabling on</w:t>
        <w:noBreakHyphen/>
        <w:t>site generation to compete in the marketplace by obtaining access at the distribution level.  However, as noted above, Section 532 is subject to the "any state action within three years of enactment preemption" of Section 3 of the Bill, which means that a State could enable a franchised utility to maintain the ability to thwart competition by adopting legislation or regulations that "address" this topic (presumably including prohibiting, or very limiting, its availability).  To avoid this result, Section 532(a) should be exempted from the State preemption standard of Section 3 of the Bill.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Second, Section 532(b) would permit a "transmitting utility" to be an applicant for an interconnection order.  In conjunction with the change to the definition of "transmitting utility" in Section 102(c) of the Bill, which eliminates the requirement that a transmitting utility's facilities be "used for the sale of electric energy at wholesale," this change enables a transco to apply for interconnection.  The Bill adds "transmission utilities" to the universe of entities that may be the target of an interconnection order.  Also, the Bill eliminates the requirement for an "evidentiary hearing" and the prohibition on interconnection orders relating to Federal power marketing agencies.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However, these changes do not enable FERC to order interconnection at the distribution level and do not enable distribution</w:t>
        <w:noBreakHyphen/>
        <w:t>only utilities to be applicants for an interconnection order. (The above described distribution generation provisions would at least partially provide the answer, but they are subject to State veto.)  Today, many innovative customer or energy service provider facilities are located on a utility's distribution system and may be many miles away from a higher</w:t>
        <w:noBreakHyphen/>
        <w:t>voltage transmission interconnection point.  While the Bill would enable FERC to require expansion of the distribution system in order to accommodate a transmission</w:t>
        <w:noBreakHyphen/>
        <w:t>level interconnection, it would not enable an applicant to apply for an interconnection at the distribution level.  This omission is likely to lead either to the failure to pursue otherwise viable innovations or to require customers needlessly to construct facilities necessary to reach an interconnection point at the transmission level.  To avoid these problems, the universe of interconnection targets in Section 210(a)(1)(A) of the FPA should be expanded to include the distribution facilities of an electric utility or a transmitting utility.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Also, the class of applicants should be expanded beyond its present limited nature to include any "person" as defined in the FPA.  There is little remaining policy justification for allowing any "electric utility, Federal power marketing agency, geothermal power producer . . ., qualifying cogenerator, or qualifying small power producer" to be an applicant, and excluding customers seeking interconnection that happen not to fit within one of these specific categories.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11.</w:t>
        <w:tab/>
        <w:t>Export and Import of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202(f) of the Federal Power Act provides that the ownership of transmission facilities used only for wholesale power sales (i) in which power is generated in a State (in the U.S.) and transmitted directly to a foreign country, without being transmitted through a second state, or (ii) in which power generated in a foreign country is transmitted into a State and not transmitted into a second state does not subject the owner or operator to FERC jurisdiction.  This provision does not exempt from FERC jurisdiction companies that otherwise are subject to FERC jurisdiction; however, it would apply to a new "transco" whose sole activity was to own or operate transmission lines between the U.S. and a foreign country.  Also, Section 201(c) of the Federal Power Act provides that transmission "in interstate commerce," meaning subject to FERC regulatory jurisdiction, is limited to transactions that take place within the U.S.  The FERC has interpreted this provision of the Federal Power Act as granting it jurisdiction over the portion of a export or import transaction up to the border (and therefore subjecting those transactions to Order Nos. 888 and 889 procedures), but not the portion crossing the border or in a foreign country.  The FERC has also concluded that it lacks the authority to order transmission service over "international lines."  FERC has urged the Department of Energy, which has jurisdiction to issue permits to construct the interconnection at the border, to condition such permits on the utility's compliance with open access policies.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102(d) of the Bill would delete the above</w:t>
        <w:noBreakHyphen/>
        <w:t>noted limitation on FERC jurisdiction over transactions to or from foreign countries, thus enabling the FERC to require compliance with Order Nos. 888 and 889 on a utility's transmission lines all the way to the international border (</w:t>
      </w:r>
      <w:r>
        <w:rPr>
          <w:u w:val="single"/>
        </w:rPr>
        <w:t>i.e.</w:t>
      </w:r>
      <w:r>
        <w:rPr/>
        <w:t>, including the portion of the line currently subject to DOE jurisdiction under Section 202(e) of the FPA).  We recommend repeal of Section 202(f), so as to prevent discrimination by new transcos described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12.</w:t>
      </w:r>
      <w:r>
        <w:rPr/>
        <w:tab/>
      </w:r>
      <w:r>
        <w:rPr>
          <w:b/>
        </w:rPr>
        <w:t>PURPA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contrast to other versions of a PURPA repeal provision, which eliminate only the obligation to purchase from qualifying facilities, Section 521 also would repeal the requirement under Section 210(a)(1) of PURPA that electric utilities provide power to QFs, and the requirement of Section 210(c) that rates for utility service to QFs be just and reasonable and nondiscriminatory.  These "sale" provisions are completely independent of the "must purchase" and "avoided cost" provisions of PURPA and the FERC's implementing rules.  They simply mandate that utilities provide the back</w:t>
        <w:noBreakHyphen/>
        <w:t xml:space="preserve">up, supplementary, and other type of services needed to permit cogenerators and their customers to receive uninterrupted service.  The FERC's rules implementing this Section simply require that in pricing such services, electric utilities not </w:t>
      </w:r>
      <w:r>
        <w:rPr>
          <w:strike/>
        </w:rPr>
        <w:t>impose</w:t>
      </w:r>
      <w:r>
        <w:rPr/>
        <w:t xml:space="preserve"> discriminate against QFs or their retail customers simply because of the fact that these facilities.  These requirements are still necessary and appropriate, to insure that a key source of efficient energy production is not once again rendered unviable by virtue of anticompetitive behavior by franchised utilities, and thus should not be eliminated as part of PURPA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t>13.</w:t>
        <w:tab/>
        <w:t>Retail Reciprocity.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u w:val="double"/>
        </w:rPr>
      </w:pPr>
      <w:r>
        <w:rPr>
          <w:b/>
          <w:u w:val="double"/>
        </w:rPr>
        <w:t>The Bill does not contain a retail reciprocity provision; however, efforts may be made to reinsert such a provision in the Bill.  Enron opposes the inclusion of a retail reciprocity provision because of potential of such a provision to eliminate much needed competitors from retail markets.  Accordingly, Enron's first choice would be to continue not to include any reciprocity provision.   If such a provision is included, we note that prior versions of reciprocity provisions, including Section 501 of the Subcommittee's Discussion Draft, prohibit a retail supplier that owns or controls, or has an affiliate which owns or controls, retail distribution facilities that are not "open" to retail access, from selling energy to retail customers in transactions involving local distribution facilities owned by another entity.  Section 501 of the Discussion Draft proposed to add a new section of Section 219 of the FPA, which addressed the circumstance in which a distribution utility or an affiliated retail supplier has attempted to implement retail access on its system by filing a plan to provide open access with the relevant State commission.  This provision appropriately sought to prevent an affiliated retail supplier from being held "captive" as a result of the policies of the State commission which regulates its affiliated utility.  If this provision is re</w:t>
        <w:noBreakHyphen/>
        <w:t>adopted, to insure that it achieves the desired effect, it should be clarified that the filing of a plan to provide open access protects the affiliates of a distribution utility from being excluded from retail markets in other states, irrespective of  whether the State commission with which such a plan is filed adopts, partially adopts or rejects the filed proposal.  Also, the exception must apply irrespective of whether the open access plan was filed prior to the enactment of the new legislation.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u w:val="double"/>
        </w:rPr>
      </w:pPr>
      <w:r>
        <w:rPr>
          <w:b/>
          <w:u w:val="double"/>
        </w:rPr>
        <w:t>Moreover, if a retail provision is added to the Bill,  the retail reciprocity provision should be amended to provide a three</w:t>
        <w:noBreakHyphen/>
        <w:t>year phase in.  This will provide utilities and State commissions adequate time to reassess their policies, in light of the potentially punitive effect of remaining closed to retail access.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FOOTNOTES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noBreakHyphen/>
      </w:r>
      <w:r>
        <w:rPr>
          <w:b/>
          <w:u w:val="double"/>
        </w:rPr>
        <w:t>FOOTNOTE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t>Electric Utility Week, November 29, 1999, "New Revelations About Cinergy's July Actions Prompt Condemnation."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noBreakHyphen/>
      </w:r>
      <w:r>
        <w:rPr>
          <w:b/>
          <w:u w:val="double"/>
        </w:rPr>
        <w:t>FOOTNOTE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t>Dow Jones Energy Service, November 23, 1999, "Cinergy Leeched Power During Summer Price Spikes."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December 17, 1999</w:t>
      </w:r>
      <w:r>
        <w:rPr/>
        <w:t xml:space="preserve"> </w:t>
      </w:r>
      <w:r>
        <w:rPr>
          <w:b/>
          <w:u w:val="double"/>
        </w:rPr>
        <w:t>January 4,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3</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Page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December 17, 1999</w:t>
      </w:r>
      <w:r>
        <w:rPr/>
        <w:t xml:space="preserve"> </w:t>
      </w:r>
      <w:r>
        <w:rPr>
          <w:b/>
          <w:u w:val="double"/>
        </w:rPr>
        <w:t>January 4,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DC: </w:t>
      </w:r>
      <w:r>
        <w:rPr>
          <w:strike/>
        </w:rPr>
        <w:t>66031.2</w:t>
      </w:r>
      <w:r>
        <w:rPr/>
        <w:t xml:space="preserve"> </w:t>
      </w:r>
      <w:r>
        <w:rPr>
          <w:b/>
          <w:u w:val="double"/>
        </w:rPr>
        <w:t>66031.3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Footer Discontinued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440" w:right="1354" w:gutter="0" w:header="1440" w:top="1496" w:footer="1685" w:bottom="1741"/>
          <w:pgNumType w:fmt="decimal"/>
          <w:formProt w:val="false"/>
          <w:titlePg/>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Footer Discontinued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notePr>
        <w:numFmt w:val="decimal"/>
      </w:footnotePr>
      <w:type w:val="continuous"/>
      <w:pgSz w:w="12240" w:h="15840"/>
      <w:pgMar w:left="1440" w:right="1350" w:gutter="0" w:header="1440" w:top="1496" w:footer="1685" w:bottom="1741"/>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both"/>
        <w:rPr/>
      </w:pPr>
      <w:r>
        <w:rPr>
          <w:rStyle w:val="FootnoteCharacters"/>
        </w:rPr>
        <w:footnoteRef/>
      </w:r>
      <w:r>
        <w:rPr>
          <w:rFonts w:cs="CG Times" w:ascii="CG Times" w:hAnsi="CG Times"/>
        </w:rPr>
        <w:tab/>
      </w:r>
      <w:r>
        <w:rPr/>
        <w:t>Electric Utility Week, November 29, 1999, "New Revelations About Cinergy=s July Actions Prompt Condemnation."</w:t>
      </w:r>
    </w:p>
  </w:footnote>
  <w:footnote w:id="3">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both"/>
        <w:rPr/>
      </w:pPr>
      <w:r>
        <w:rPr>
          <w:rStyle w:val="FootnoteCharacters"/>
        </w:rPr>
        <w:footnoteRef/>
      </w:r>
      <w:r>
        <w:rPr/>
        <w:tab/>
        <w:t>Dow Jones Energy Service, November 23, 1999, "Cinergy Leeched Power During Summer Price Spikes."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Page </w:t>
    </w:r>
    <w:r>
      <w:rPr/>
      <w:fldChar w:fldCharType="begin"/>
    </w:r>
    <w:r>
      <w:rPr/>
      <w:instrText xml:space="preserve"> PAGE </w:instrText>
    </w:r>
    <w:r>
      <w:rPr/>
      <w:fldChar w:fldCharType="separate"/>
    </w:r>
    <w:r>
      <w:rPr/>
      <w:t>18</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fldChar w:fldCharType="begin"/>
    </w:r>
    <w:r>
      <w:rPr/>
      <w:instrText xml:space="preserve"> DATE \@"MMMM\ d', 'yyyy" </w:instrText>
    </w:r>
    <w:r>
      <w:rPr/>
      <w:fldChar w:fldCharType="separate"/>
    </w:r>
    <w:r>
      <w:rPr/>
      <w:t>September 28, 2025</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lineRule="exact" w:line="240"/>
      <w:rPr>
        <w:rFonts w:ascii="CG Times" w:hAnsi="CG Times" w:cs="CG Times"/>
      </w:rPr>
    </w:pPr>
    <w:r>
      <w:rPr>
        <w:rFonts w:cs="CG Times" w:ascii="CG Times" w:hAnsi="CG Tim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3" w:name="Header_A_Addressee"/>
    <w:bookmarkEnd w:id="3"/>
    <w:r>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Page </w:t>
    </w:r>
    <w:r>
      <w:rPr/>
      <w:fldChar w:fldCharType="begin"/>
    </w:r>
    <w:r>
      <w:rPr/>
      <w:instrText xml:space="preserve"> PAGE </w:instrText>
    </w:r>
    <w:r>
      <w:rPr/>
      <w:fldChar w:fldCharType="separate"/>
    </w:r>
    <w:r>
      <w:rPr/>
      <w:t>17</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4" w:name="Header_A_Date"/>
    <w:bookmarkEnd w:id="4"/>
    <w:r>
      <w:rPr/>
      <w:fldChar w:fldCharType="begin"/>
    </w:r>
    <w:r>
      <w:rPr/>
      <w:instrText xml:space="preserve"> DATE \@"MMMM\ d', 'yyyy" </w:instrText>
    </w:r>
    <w:r>
      <w:rPr/>
      <w:fldChar w:fldCharType="separate"/>
    </w:r>
    <w:r>
      <w:rPr/>
      <w:t>September 28, 2025</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lineRule="exact" w:line="240"/>
      <w:rPr>
        <w:rFonts w:ascii="CG Times" w:hAnsi="CG Times" w:cs="CG Times"/>
      </w:rPr>
    </w:pPr>
    <w:r>
      <w:rPr>
        <w:rFonts w:cs="CG Times" w:ascii="CG Times" w:hAnsi="CG Time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evenAndOddHeaders/>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2000-01-04T17:20:00Z</dcterms:created>
  <dc:creator>Beth May</dc:creator>
  <dc:description/>
  <dc:language>en-CA</dc:language>
  <cp:lastModifiedBy>Beth May</cp:lastModifiedBy>
  <cp:lastPrinted>2000-01-04T14:49:00Z</cp:lastPrinted>
  <dcterms:modified xsi:type="dcterms:W3CDTF">2000-01-04T17:20:00Z</dcterms:modified>
  <cp:revision>2</cp:revision>
  <dc:subject/>
  <dc:title>DRAFT</dc:title>
</cp:coreProperties>
</file>